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A06" w:rsidRPr="00882976" w:rsidRDefault="00DD2A06" w:rsidP="00DD2A06">
      <w:pPr>
        <w:autoSpaceDE/>
        <w:autoSpaceDN/>
        <w:adjustRightInd/>
        <w:spacing w:after="0"/>
        <w:jc w:val="left"/>
        <w:rPr>
          <w:rFonts w:cs="Arial"/>
        </w:rPr>
        <w:sectPr w:rsidR="00DD2A06" w:rsidRPr="00882976" w:rsidSect="00DD2A06">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882976">
        <w:rPr>
          <w:rFont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5869940</wp:posOffset>
                </wp:positionV>
                <wp:extent cx="6640195" cy="22193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A06" w:rsidRDefault="00DD2A06" w:rsidP="00DD2A06">
                            <w:pPr>
                              <w:spacing w:after="0"/>
                              <w:ind w:right="-46"/>
                              <w:jc w:val="left"/>
                              <w:rPr>
                                <w:rFonts w:cs="Arial"/>
                                <w:b/>
                                <w:bCs/>
                                <w:sz w:val="52"/>
                                <w:szCs w:val="52"/>
                              </w:rPr>
                            </w:pPr>
                          </w:p>
                          <w:p w:rsidR="00DD2A06" w:rsidRDefault="00DD2A06" w:rsidP="00DD2A06">
                            <w:pPr>
                              <w:spacing w:after="0"/>
                              <w:ind w:right="-46"/>
                              <w:jc w:val="left"/>
                              <w:rPr>
                                <w:rFonts w:cs="Arial"/>
                                <w:b/>
                                <w:bCs/>
                                <w:sz w:val="52"/>
                                <w:szCs w:val="52"/>
                              </w:rPr>
                            </w:pPr>
                            <w:r>
                              <w:rPr>
                                <w:rFonts w:cs="Arial"/>
                                <w:b/>
                                <w:bCs/>
                                <w:sz w:val="52"/>
                                <w:szCs w:val="52"/>
                              </w:rPr>
                              <w:t>Money Matters</w:t>
                            </w:r>
                          </w:p>
                          <w:p w:rsidR="00DD2A06" w:rsidRDefault="00DD2A06" w:rsidP="00DD2A06">
                            <w:pPr>
                              <w:spacing w:after="0"/>
                              <w:ind w:right="-46"/>
                              <w:jc w:val="left"/>
                              <w:rPr>
                                <w:rFonts w:cs="Arial"/>
                                <w:b/>
                                <w:bCs/>
                                <w:sz w:val="52"/>
                                <w:szCs w:val="52"/>
                              </w:rPr>
                            </w:pPr>
                            <w:r>
                              <w:rPr>
                                <w:rFonts w:cs="Arial"/>
                                <w:b/>
                                <w:bCs/>
                                <w:sz w:val="52"/>
                                <w:szCs w:val="52"/>
                              </w:rPr>
                              <w:t>Financial Outlook for the County Council</w:t>
                            </w:r>
                          </w:p>
                          <w:p w:rsidR="00DD2A06" w:rsidRPr="0037393E" w:rsidRDefault="00DD2A06" w:rsidP="00DD2A06">
                            <w:pPr>
                              <w:spacing w:after="0"/>
                              <w:ind w:right="-46"/>
                              <w:jc w:val="left"/>
                              <w:rPr>
                                <w:rFonts w:cs="Arial"/>
                                <w:b/>
                                <w:bCs/>
                                <w:sz w:val="52"/>
                                <w:szCs w:val="52"/>
                              </w:rPr>
                            </w:pPr>
                            <w:r>
                              <w:rPr>
                                <w:rFonts w:cs="Arial"/>
                                <w:b/>
                                <w:bCs/>
                                <w:sz w:val="52"/>
                                <w:szCs w:val="52"/>
                              </w:rPr>
                              <w:t xml:space="preserve">Medium Term Financial Strategy as at </w:t>
                            </w:r>
                            <w:r w:rsidRPr="00345467">
                              <w:rPr>
                                <w:rFonts w:cs="Arial"/>
                                <w:b/>
                                <w:bCs/>
                                <w:sz w:val="52"/>
                                <w:szCs w:val="52"/>
                              </w:rPr>
                              <w:t>30</w:t>
                            </w:r>
                            <w:r w:rsidRPr="00345467">
                              <w:rPr>
                                <w:rFonts w:cs="Arial"/>
                                <w:b/>
                                <w:bCs/>
                                <w:sz w:val="52"/>
                                <w:szCs w:val="52"/>
                                <w:vertAlign w:val="superscript"/>
                              </w:rPr>
                              <w:t>th</w:t>
                            </w:r>
                            <w:r w:rsidRPr="00345467">
                              <w:rPr>
                                <w:rFonts w:cs="Arial"/>
                                <w:b/>
                                <w:bCs/>
                                <w:sz w:val="52"/>
                                <w:szCs w:val="52"/>
                              </w:rPr>
                              <w:t xml:space="preserve"> September 2017</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8pt;margin-top:462.2pt;width:522.85pt;height:1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" filled="f" stroked="f">
                <v:textbox>
                  <w:txbxContent>
                    <w:p w:rsidR="00DD2A06" w:rsidRDefault="00DD2A06" w:rsidP="00DD2A06">
                      <w:pPr>
                        <w:spacing w:after="0"/>
                        <w:ind w:right="-46"/>
                        <w:jc w:val="left"/>
                        <w:rPr>
                          <w:rFonts w:cs="Arial"/>
                          <w:b/>
                          <w:bCs/>
                          <w:sz w:val="52"/>
                          <w:szCs w:val="52"/>
                        </w:rPr>
                      </w:pPr>
                    </w:p>
                    <w:p w:rsidR="00DD2A06" w:rsidRDefault="00DD2A06" w:rsidP="00DD2A06">
                      <w:pPr>
                        <w:spacing w:after="0"/>
                        <w:ind w:right="-46"/>
                        <w:jc w:val="left"/>
                        <w:rPr>
                          <w:rFonts w:cs="Arial"/>
                          <w:b/>
                          <w:bCs/>
                          <w:sz w:val="52"/>
                          <w:szCs w:val="52"/>
                        </w:rPr>
                      </w:pPr>
                      <w:r>
                        <w:rPr>
                          <w:rFonts w:cs="Arial"/>
                          <w:b/>
                          <w:bCs/>
                          <w:sz w:val="52"/>
                          <w:szCs w:val="52"/>
                        </w:rPr>
                        <w:t>Money Matters</w:t>
                      </w:r>
                    </w:p>
                    <w:p w:rsidR="00DD2A06" w:rsidRDefault="00DD2A06" w:rsidP="00DD2A06">
                      <w:pPr>
                        <w:spacing w:after="0"/>
                        <w:ind w:right="-46"/>
                        <w:jc w:val="left"/>
                        <w:rPr>
                          <w:rFonts w:cs="Arial"/>
                          <w:b/>
                          <w:bCs/>
                          <w:sz w:val="52"/>
                          <w:szCs w:val="52"/>
                        </w:rPr>
                      </w:pPr>
                      <w:r>
                        <w:rPr>
                          <w:rFonts w:cs="Arial"/>
                          <w:b/>
                          <w:bCs/>
                          <w:sz w:val="52"/>
                          <w:szCs w:val="52"/>
                        </w:rPr>
                        <w:t>Financial Outlook for the County Council</w:t>
                      </w:r>
                    </w:p>
                    <w:p w:rsidR="00DD2A06" w:rsidRPr="0037393E" w:rsidRDefault="00DD2A06" w:rsidP="00DD2A06">
                      <w:pPr>
                        <w:spacing w:after="0"/>
                        <w:ind w:right="-46"/>
                        <w:jc w:val="left"/>
                        <w:rPr>
                          <w:rFonts w:cs="Arial"/>
                          <w:b/>
                          <w:bCs/>
                          <w:sz w:val="52"/>
                          <w:szCs w:val="52"/>
                        </w:rPr>
                      </w:pPr>
                      <w:r>
                        <w:rPr>
                          <w:rFonts w:cs="Arial"/>
                          <w:b/>
                          <w:bCs/>
                          <w:sz w:val="52"/>
                          <w:szCs w:val="52"/>
                        </w:rPr>
                        <w:t xml:space="preserve">Medium Term Financial Strategy as at </w:t>
                      </w:r>
                      <w:r w:rsidRPr="00345467">
                        <w:rPr>
                          <w:rFonts w:cs="Arial"/>
                          <w:b/>
                          <w:bCs/>
                          <w:sz w:val="52"/>
                          <w:szCs w:val="52"/>
                        </w:rPr>
                        <w:t>30</w:t>
                      </w:r>
                      <w:r w:rsidRPr="00345467">
                        <w:rPr>
                          <w:rFonts w:cs="Arial"/>
                          <w:b/>
                          <w:bCs/>
                          <w:sz w:val="52"/>
                          <w:szCs w:val="52"/>
                          <w:vertAlign w:val="superscript"/>
                        </w:rPr>
                        <w:t>th</w:t>
                      </w:r>
                      <w:r w:rsidRPr="00345467">
                        <w:rPr>
                          <w:rFonts w:cs="Arial"/>
                          <w:b/>
                          <w:bCs/>
                          <w:sz w:val="52"/>
                          <w:szCs w:val="52"/>
                        </w:rPr>
                        <w:t xml:space="preserve"> September 2017</w:t>
                      </w: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883109" w:rsidTr="00DD2A06">
        <w:trPr>
          <w:trHeight w:val="699"/>
        </w:trPr>
        <w:tc>
          <w:tcPr>
            <w:tcW w:w="562" w:type="dxa"/>
            <w:vAlign w:val="center"/>
          </w:tcPr>
          <w:p w:rsidR="00DD2A06" w:rsidRPr="00882976" w:rsidRDefault="00DD2A06" w:rsidP="00DD2A06">
            <w:pPr>
              <w:spacing w:after="0"/>
              <w:ind w:right="-46"/>
              <w:jc w:val="center"/>
              <w:rPr>
                <w:rFonts w:cs="Arial"/>
                <w:b/>
                <w:bCs/>
              </w:rPr>
            </w:pPr>
          </w:p>
        </w:tc>
        <w:tc>
          <w:tcPr>
            <w:tcW w:w="5437" w:type="dxa"/>
            <w:vAlign w:val="center"/>
          </w:tcPr>
          <w:p w:rsidR="00DD2A06" w:rsidRPr="00882976" w:rsidRDefault="00DD2A06" w:rsidP="00DD2A06">
            <w:pPr>
              <w:spacing w:after="0"/>
              <w:ind w:right="-46"/>
              <w:jc w:val="center"/>
              <w:rPr>
                <w:rFonts w:cs="Arial"/>
                <w:b/>
                <w:bCs/>
              </w:rPr>
            </w:pPr>
            <w:r w:rsidRPr="00882976">
              <w:rPr>
                <w:rFonts w:cs="Arial"/>
                <w:b/>
                <w:bCs/>
              </w:rPr>
              <w:t>Contents</w:t>
            </w:r>
          </w:p>
        </w:tc>
        <w:tc>
          <w:tcPr>
            <w:tcW w:w="3017" w:type="dxa"/>
            <w:vAlign w:val="center"/>
          </w:tcPr>
          <w:p w:rsidR="00DD2A06" w:rsidRPr="00882976" w:rsidRDefault="00DD2A06" w:rsidP="00DD2A06">
            <w:pPr>
              <w:spacing w:after="0"/>
              <w:ind w:right="-46"/>
              <w:jc w:val="center"/>
              <w:rPr>
                <w:rFonts w:cs="Arial"/>
                <w:b/>
                <w:bCs/>
              </w:rPr>
            </w:pPr>
            <w:r w:rsidRPr="00882976">
              <w:rPr>
                <w:rFonts w:cs="Arial"/>
                <w:b/>
                <w:bCs/>
              </w:rPr>
              <w:t>Page</w:t>
            </w:r>
          </w:p>
        </w:tc>
      </w:tr>
      <w:tr w:rsidR="00883109" w:rsidTr="00DD2A06">
        <w:tc>
          <w:tcPr>
            <w:tcW w:w="562" w:type="dxa"/>
            <w:vAlign w:val="center"/>
          </w:tcPr>
          <w:p w:rsidR="00DD2A06" w:rsidRPr="00882976" w:rsidRDefault="00DD2A06" w:rsidP="00DD2A06">
            <w:pPr>
              <w:spacing w:after="0"/>
              <w:ind w:right="-46"/>
              <w:jc w:val="center"/>
              <w:rPr>
                <w:rFonts w:cs="Arial"/>
                <w:b/>
                <w:bCs/>
              </w:rPr>
            </w:pPr>
            <w:r w:rsidRPr="00882976">
              <w:rPr>
                <w:rFonts w:cs="Arial"/>
                <w:b/>
                <w:bCs/>
              </w:rPr>
              <w:t>1</w:t>
            </w:r>
          </w:p>
        </w:tc>
        <w:tc>
          <w:tcPr>
            <w:tcW w:w="5437" w:type="dxa"/>
            <w:vAlign w:val="center"/>
          </w:tcPr>
          <w:p w:rsidR="00DD2A06" w:rsidRPr="00882976" w:rsidRDefault="00DD2A06" w:rsidP="00DD2A06">
            <w:pPr>
              <w:spacing w:after="0"/>
              <w:ind w:right="-46"/>
              <w:rPr>
                <w:rFonts w:cs="Arial"/>
                <w:b/>
                <w:bCs/>
              </w:rPr>
            </w:pPr>
          </w:p>
          <w:p w:rsidR="00DD2A06" w:rsidRPr="00882976" w:rsidRDefault="00DD2A06" w:rsidP="00DD2A06">
            <w:pPr>
              <w:spacing w:after="0"/>
              <w:ind w:right="-46"/>
              <w:rPr>
                <w:rFonts w:cs="Arial"/>
                <w:b/>
                <w:bCs/>
              </w:rPr>
            </w:pPr>
            <w:r w:rsidRPr="00882976">
              <w:rPr>
                <w:rFonts w:cs="Arial"/>
                <w:b/>
                <w:bCs/>
              </w:rPr>
              <w:t>Executive Summary</w:t>
            </w:r>
          </w:p>
          <w:p w:rsidR="00DD2A06" w:rsidRPr="00882976" w:rsidRDefault="00DD2A06" w:rsidP="00DD2A06">
            <w:pPr>
              <w:spacing w:after="0"/>
              <w:ind w:right="-46"/>
              <w:rPr>
                <w:rFonts w:cs="Arial"/>
                <w:b/>
                <w:bCs/>
              </w:rPr>
            </w:pPr>
          </w:p>
        </w:tc>
        <w:tc>
          <w:tcPr>
            <w:tcW w:w="3017" w:type="dxa"/>
            <w:vAlign w:val="center"/>
          </w:tcPr>
          <w:p w:rsidR="00DD2A06" w:rsidRPr="00882976" w:rsidRDefault="00DD2A06" w:rsidP="00DD2A06">
            <w:pPr>
              <w:spacing w:after="0"/>
              <w:ind w:right="-46"/>
              <w:jc w:val="center"/>
              <w:rPr>
                <w:rFonts w:cs="Arial"/>
                <w:b/>
                <w:bCs/>
              </w:rPr>
            </w:pPr>
            <w:r>
              <w:rPr>
                <w:rFonts w:cs="Arial"/>
                <w:b/>
                <w:bCs/>
              </w:rPr>
              <w:t>3</w:t>
            </w:r>
          </w:p>
        </w:tc>
      </w:tr>
      <w:tr w:rsidR="00883109" w:rsidTr="00DD2A06">
        <w:tc>
          <w:tcPr>
            <w:tcW w:w="562" w:type="dxa"/>
            <w:vAlign w:val="center"/>
          </w:tcPr>
          <w:p w:rsidR="00DD2A06" w:rsidRPr="00882976" w:rsidRDefault="00DD2A06" w:rsidP="00DD2A06">
            <w:pPr>
              <w:spacing w:after="0"/>
              <w:ind w:right="-46"/>
              <w:jc w:val="center"/>
              <w:rPr>
                <w:rFonts w:cs="Arial"/>
                <w:b/>
                <w:bCs/>
              </w:rPr>
            </w:pPr>
            <w:r w:rsidRPr="00882976">
              <w:rPr>
                <w:rFonts w:cs="Arial"/>
                <w:b/>
                <w:bCs/>
              </w:rPr>
              <w:t>2</w:t>
            </w:r>
          </w:p>
        </w:tc>
        <w:tc>
          <w:tcPr>
            <w:tcW w:w="5437" w:type="dxa"/>
            <w:vAlign w:val="center"/>
          </w:tcPr>
          <w:p w:rsidR="00DD2A06" w:rsidRPr="00882976" w:rsidRDefault="00DD2A06" w:rsidP="00DD2A06">
            <w:pPr>
              <w:spacing w:after="0"/>
              <w:ind w:right="-46"/>
              <w:rPr>
                <w:rFonts w:cs="Arial"/>
                <w:b/>
                <w:bCs/>
              </w:rPr>
            </w:pPr>
          </w:p>
          <w:p w:rsidR="00DD2A06" w:rsidRPr="00882976" w:rsidRDefault="00DD2A06" w:rsidP="00DD2A06">
            <w:pPr>
              <w:spacing w:after="0"/>
              <w:ind w:right="-46"/>
              <w:rPr>
                <w:rFonts w:cs="Arial"/>
                <w:b/>
                <w:bCs/>
              </w:rPr>
            </w:pPr>
            <w:r>
              <w:rPr>
                <w:rFonts w:cs="Arial"/>
                <w:b/>
                <w:bCs/>
              </w:rPr>
              <w:t>Funding</w:t>
            </w:r>
          </w:p>
          <w:p w:rsidR="00DD2A06" w:rsidRPr="00882976" w:rsidRDefault="00DD2A06" w:rsidP="00DD2A06">
            <w:pPr>
              <w:spacing w:after="0"/>
              <w:ind w:right="-46"/>
              <w:rPr>
                <w:rFonts w:cs="Arial"/>
                <w:b/>
                <w:bCs/>
              </w:rPr>
            </w:pPr>
          </w:p>
        </w:tc>
        <w:tc>
          <w:tcPr>
            <w:tcW w:w="3017" w:type="dxa"/>
            <w:vAlign w:val="center"/>
          </w:tcPr>
          <w:p w:rsidR="00DD2A06" w:rsidRPr="00882976" w:rsidRDefault="00DD2A06" w:rsidP="00DD2A06">
            <w:pPr>
              <w:spacing w:after="0"/>
              <w:ind w:right="-46"/>
              <w:jc w:val="center"/>
              <w:rPr>
                <w:rFonts w:cs="Arial"/>
                <w:b/>
                <w:bCs/>
              </w:rPr>
            </w:pPr>
            <w:r>
              <w:rPr>
                <w:rFonts w:cs="Arial"/>
                <w:b/>
                <w:bCs/>
              </w:rPr>
              <w:t>6</w:t>
            </w:r>
          </w:p>
        </w:tc>
      </w:tr>
      <w:tr w:rsidR="00883109" w:rsidTr="00DD2A06">
        <w:tc>
          <w:tcPr>
            <w:tcW w:w="562" w:type="dxa"/>
            <w:vAlign w:val="center"/>
          </w:tcPr>
          <w:p w:rsidR="00DD2A06" w:rsidRPr="00882976" w:rsidRDefault="00DD2A06" w:rsidP="00DD2A06">
            <w:pPr>
              <w:spacing w:after="0"/>
              <w:ind w:right="-46"/>
              <w:jc w:val="center"/>
              <w:rPr>
                <w:rFonts w:cs="Arial"/>
                <w:b/>
                <w:bCs/>
              </w:rPr>
            </w:pPr>
            <w:r w:rsidRPr="00882976">
              <w:rPr>
                <w:rFonts w:cs="Arial"/>
                <w:b/>
                <w:bCs/>
              </w:rPr>
              <w:t>3</w:t>
            </w:r>
          </w:p>
        </w:tc>
        <w:tc>
          <w:tcPr>
            <w:tcW w:w="5437" w:type="dxa"/>
            <w:vAlign w:val="center"/>
          </w:tcPr>
          <w:p w:rsidR="00DD2A06" w:rsidRPr="00882976" w:rsidRDefault="00DD2A06" w:rsidP="00DD2A06">
            <w:pPr>
              <w:spacing w:after="0"/>
              <w:ind w:right="-46"/>
              <w:rPr>
                <w:rFonts w:cs="Arial"/>
                <w:b/>
                <w:bCs/>
              </w:rPr>
            </w:pPr>
          </w:p>
          <w:p w:rsidR="00DD2A06" w:rsidRPr="00882976" w:rsidRDefault="00DD2A06" w:rsidP="00DD2A06">
            <w:pPr>
              <w:spacing w:after="0"/>
              <w:ind w:right="-46"/>
              <w:rPr>
                <w:rFonts w:cs="Arial"/>
                <w:b/>
                <w:bCs/>
              </w:rPr>
            </w:pPr>
            <w:r w:rsidRPr="00882976">
              <w:rPr>
                <w:rFonts w:cs="Arial"/>
                <w:b/>
                <w:bCs/>
              </w:rPr>
              <w:t>Net Spending Pressures</w:t>
            </w:r>
          </w:p>
          <w:p w:rsidR="00DD2A06" w:rsidRPr="00882976" w:rsidRDefault="00DD2A06" w:rsidP="00DD2A06">
            <w:pPr>
              <w:spacing w:after="0"/>
              <w:ind w:right="-46"/>
              <w:rPr>
                <w:rFonts w:cs="Arial"/>
                <w:b/>
                <w:bCs/>
              </w:rPr>
            </w:pPr>
          </w:p>
        </w:tc>
        <w:tc>
          <w:tcPr>
            <w:tcW w:w="3017" w:type="dxa"/>
            <w:vAlign w:val="center"/>
          </w:tcPr>
          <w:p w:rsidR="00DD2A06" w:rsidRPr="00882976" w:rsidRDefault="00DD2A06" w:rsidP="00DD2A06">
            <w:pPr>
              <w:spacing w:after="0"/>
              <w:ind w:right="-46"/>
              <w:jc w:val="center"/>
              <w:rPr>
                <w:rFonts w:cs="Arial"/>
                <w:b/>
                <w:bCs/>
              </w:rPr>
            </w:pPr>
            <w:r>
              <w:rPr>
                <w:rFonts w:cs="Arial"/>
                <w:b/>
                <w:bCs/>
              </w:rPr>
              <w:t>11</w:t>
            </w:r>
          </w:p>
        </w:tc>
      </w:tr>
      <w:tr w:rsidR="00883109" w:rsidTr="00DD2A06">
        <w:tc>
          <w:tcPr>
            <w:tcW w:w="562" w:type="dxa"/>
            <w:vAlign w:val="center"/>
          </w:tcPr>
          <w:p w:rsidR="00DD2A06" w:rsidRPr="00882976" w:rsidRDefault="00DD2A06" w:rsidP="00DD2A06">
            <w:pPr>
              <w:spacing w:after="0"/>
              <w:ind w:right="-46"/>
              <w:jc w:val="center"/>
              <w:rPr>
                <w:rFonts w:cs="Arial"/>
                <w:b/>
                <w:bCs/>
              </w:rPr>
            </w:pPr>
            <w:r w:rsidRPr="00882976">
              <w:rPr>
                <w:rFonts w:cs="Arial"/>
                <w:b/>
                <w:bCs/>
              </w:rPr>
              <w:t>4</w:t>
            </w:r>
          </w:p>
        </w:tc>
        <w:tc>
          <w:tcPr>
            <w:tcW w:w="5437" w:type="dxa"/>
            <w:vAlign w:val="center"/>
          </w:tcPr>
          <w:p w:rsidR="00DD2A06" w:rsidRPr="00882976" w:rsidRDefault="00DD2A06" w:rsidP="00DD2A06">
            <w:pPr>
              <w:spacing w:after="0"/>
              <w:ind w:right="-46"/>
              <w:rPr>
                <w:rFonts w:cs="Arial"/>
                <w:b/>
                <w:bCs/>
              </w:rPr>
            </w:pPr>
          </w:p>
          <w:p w:rsidR="00DD2A06" w:rsidRPr="00882976" w:rsidRDefault="00DD2A06" w:rsidP="00DD2A06">
            <w:pPr>
              <w:spacing w:after="0"/>
              <w:ind w:right="-46"/>
              <w:rPr>
                <w:rFonts w:cs="Arial"/>
                <w:b/>
                <w:bCs/>
              </w:rPr>
            </w:pPr>
            <w:r w:rsidRPr="00882976">
              <w:rPr>
                <w:rFonts w:cs="Arial"/>
                <w:b/>
                <w:bCs/>
              </w:rPr>
              <w:t>Future Risks</w:t>
            </w:r>
          </w:p>
          <w:p w:rsidR="00DD2A06" w:rsidRPr="00882976" w:rsidRDefault="00DD2A06" w:rsidP="00DD2A06">
            <w:pPr>
              <w:spacing w:after="0"/>
              <w:ind w:right="-46"/>
              <w:rPr>
                <w:rFonts w:cs="Arial"/>
                <w:b/>
                <w:bCs/>
              </w:rPr>
            </w:pPr>
          </w:p>
        </w:tc>
        <w:tc>
          <w:tcPr>
            <w:tcW w:w="3017" w:type="dxa"/>
            <w:vAlign w:val="center"/>
          </w:tcPr>
          <w:p w:rsidR="00DD2A06" w:rsidRPr="00882976" w:rsidRDefault="00DD2A06" w:rsidP="00DD2A06">
            <w:pPr>
              <w:spacing w:after="0"/>
              <w:ind w:right="-46"/>
              <w:jc w:val="center"/>
              <w:rPr>
                <w:rFonts w:cs="Arial"/>
                <w:b/>
                <w:bCs/>
              </w:rPr>
            </w:pPr>
            <w:r>
              <w:rPr>
                <w:rFonts w:cs="Arial"/>
                <w:b/>
                <w:bCs/>
              </w:rPr>
              <w:t>16</w:t>
            </w:r>
          </w:p>
        </w:tc>
      </w:tr>
    </w:tbl>
    <w:p w:rsidR="00DD2A06" w:rsidRPr="00882976" w:rsidRDefault="00DD2A06" w:rsidP="00DD2A06">
      <w:pPr>
        <w:spacing w:after="0"/>
        <w:ind w:right="-46"/>
        <w:rPr>
          <w:rFonts w:cs="Arial"/>
          <w:b/>
          <w:bCs/>
        </w:rPr>
      </w:pPr>
    </w:p>
    <w:p w:rsidR="00DD2A06" w:rsidRPr="00882976" w:rsidRDefault="00DD2A06">
      <w:pPr>
        <w:autoSpaceDE/>
        <w:autoSpaceDN/>
        <w:adjustRightInd/>
        <w:spacing w:after="0"/>
        <w:jc w:val="left"/>
        <w:rPr>
          <w:rFonts w:cs="Arial"/>
          <w:b/>
        </w:rPr>
      </w:pPr>
      <w:r w:rsidRPr="00882976">
        <w:rPr>
          <w:rFonts w:cs="Arial"/>
          <w:b/>
        </w:rPr>
        <w:br w:type="page"/>
      </w:r>
      <w:bookmarkStart w:id="0" w:name="_GoBack"/>
      <w:bookmarkEnd w:id="0"/>
    </w:p>
    <w:p w:rsidR="00DD2A06" w:rsidRPr="00882976" w:rsidRDefault="00DD2A06" w:rsidP="00DD2A06">
      <w:pPr>
        <w:pBdr>
          <w:bottom w:val="single" w:sz="4" w:space="1" w:color="auto"/>
        </w:pBdr>
        <w:tabs>
          <w:tab w:val="left" w:pos="567"/>
          <w:tab w:val="left" w:pos="1134"/>
        </w:tabs>
        <w:spacing w:after="0"/>
        <w:rPr>
          <w:rFonts w:cs="Arial"/>
          <w:b/>
        </w:rPr>
      </w:pPr>
      <w:r w:rsidRPr="00882976">
        <w:rPr>
          <w:rFonts w:cs="Arial"/>
          <w:b/>
        </w:rPr>
        <w:t>Financial Outlook for the County Council: Medium Term Financial Strategy</w:t>
      </w:r>
    </w:p>
    <w:p w:rsidR="00DD2A06" w:rsidRPr="00882976" w:rsidRDefault="00DD2A06" w:rsidP="00DD2A06">
      <w:pPr>
        <w:tabs>
          <w:tab w:val="left" w:pos="567"/>
          <w:tab w:val="left" w:pos="1134"/>
        </w:tabs>
        <w:spacing w:after="0"/>
        <w:rPr>
          <w:rFonts w:cs="Arial"/>
        </w:rPr>
      </w:pPr>
    </w:p>
    <w:p w:rsidR="00DD2A06" w:rsidRPr="00882976" w:rsidRDefault="00DD2A06" w:rsidP="00DD2A06">
      <w:pPr>
        <w:pStyle w:val="ListParagraph"/>
        <w:numPr>
          <w:ilvl w:val="0"/>
          <w:numId w:val="25"/>
        </w:numPr>
        <w:spacing w:after="0"/>
        <w:ind w:left="567" w:hanging="567"/>
        <w:rPr>
          <w:rFonts w:cs="Arial"/>
          <w:b/>
        </w:rPr>
      </w:pPr>
      <w:r w:rsidRPr="00882976">
        <w:rPr>
          <w:rFonts w:cs="Arial"/>
          <w:b/>
        </w:rPr>
        <w:t>Executive Summary</w:t>
      </w:r>
    </w:p>
    <w:p w:rsidR="00DD2A06" w:rsidRPr="00882976" w:rsidRDefault="00DD2A06" w:rsidP="00DD2A06">
      <w:pPr>
        <w:tabs>
          <w:tab w:val="left" w:pos="567"/>
          <w:tab w:val="left" w:pos="1134"/>
        </w:tabs>
        <w:spacing w:after="0"/>
        <w:rPr>
          <w:rFonts w:cs="Arial"/>
          <w:b/>
        </w:rPr>
      </w:pPr>
    </w:p>
    <w:p w:rsidR="00DD2A06" w:rsidRDefault="00DD2A06" w:rsidP="00DD2A06">
      <w:pPr>
        <w:tabs>
          <w:tab w:val="left" w:pos="567"/>
          <w:tab w:val="left" w:pos="1134"/>
        </w:tabs>
        <w:spacing w:after="0"/>
        <w:rPr>
          <w:rFonts w:cs="Arial"/>
          <w:b/>
        </w:rPr>
      </w:pPr>
      <w:r w:rsidRPr="00882976">
        <w:rPr>
          <w:rFonts w:cs="Arial"/>
          <w:b/>
        </w:rPr>
        <w:t xml:space="preserve">1.1 </w:t>
      </w:r>
      <w:r>
        <w:rPr>
          <w:rFonts w:cs="Arial"/>
          <w:b/>
        </w:rPr>
        <w:t>Introduction</w:t>
      </w:r>
    </w:p>
    <w:p w:rsidR="00DD2A06" w:rsidRPr="00882976" w:rsidRDefault="00DD2A06" w:rsidP="00DD2A06">
      <w:pPr>
        <w:tabs>
          <w:tab w:val="left" w:pos="567"/>
          <w:tab w:val="left" w:pos="1134"/>
        </w:tabs>
        <w:spacing w:after="0"/>
        <w:rPr>
          <w:rFonts w:cs="Arial"/>
          <w:b/>
        </w:rPr>
      </w:pPr>
    </w:p>
    <w:p w:rsidR="00DD2A06" w:rsidRPr="00882976" w:rsidRDefault="00DD2A06" w:rsidP="00DD2A06">
      <w:pPr>
        <w:tabs>
          <w:tab w:val="left" w:pos="567"/>
          <w:tab w:val="left" w:pos="1134"/>
        </w:tabs>
        <w:spacing w:after="0"/>
        <w:rPr>
          <w:rFonts w:cs="Arial"/>
        </w:rPr>
      </w:pPr>
      <w:r w:rsidRPr="00882976">
        <w:rPr>
          <w:rFonts w:cs="Arial"/>
        </w:rPr>
        <w:t>This report outlines the financial position facing Lancashire County Council over the period 201</w:t>
      </w:r>
      <w:r>
        <w:rPr>
          <w:rFonts w:cs="Arial"/>
        </w:rPr>
        <w:t>8</w:t>
      </w:r>
      <w:r w:rsidRPr="00882976">
        <w:rPr>
          <w:rFonts w:cs="Arial"/>
        </w:rPr>
        <w:t>/1</w:t>
      </w:r>
      <w:r>
        <w:rPr>
          <w:rFonts w:cs="Arial"/>
        </w:rPr>
        <w:t>9</w:t>
      </w:r>
      <w:r w:rsidRPr="00882976">
        <w:rPr>
          <w:rFonts w:cs="Arial"/>
        </w:rPr>
        <w:t xml:space="preserve"> to 202</w:t>
      </w:r>
      <w:r>
        <w:rPr>
          <w:rFonts w:cs="Arial"/>
        </w:rPr>
        <w:t>1</w:t>
      </w:r>
      <w:r w:rsidRPr="00882976">
        <w:rPr>
          <w:rFonts w:cs="Arial"/>
        </w:rPr>
        <w:t>/2</w:t>
      </w:r>
      <w:r>
        <w:rPr>
          <w:rFonts w:cs="Arial"/>
        </w:rPr>
        <w:t>2</w:t>
      </w:r>
      <w:r w:rsidRPr="00882976">
        <w:rPr>
          <w:rFonts w:cs="Arial"/>
        </w:rPr>
        <w:t xml:space="preserve">. The County Council is experiencing an ongoing period of unprecedented financial pressure as a result of the Government's extended programme of austerity combined with significant increases in demand for public services. </w:t>
      </w:r>
    </w:p>
    <w:p w:rsidR="00DD2A06" w:rsidRPr="00882976" w:rsidRDefault="00DD2A06" w:rsidP="00DD2A06">
      <w:pPr>
        <w:tabs>
          <w:tab w:val="left" w:pos="567"/>
          <w:tab w:val="left" w:pos="1134"/>
        </w:tabs>
        <w:spacing w:after="0"/>
        <w:rPr>
          <w:rFonts w:cs="Arial"/>
        </w:rPr>
      </w:pPr>
    </w:p>
    <w:p w:rsidR="00DD2A06" w:rsidRPr="00882976" w:rsidRDefault="00DD2A06" w:rsidP="00DD2A06">
      <w:pPr>
        <w:tabs>
          <w:tab w:val="left" w:pos="567"/>
          <w:tab w:val="left" w:pos="1134"/>
        </w:tabs>
        <w:spacing w:after="0"/>
        <w:rPr>
          <w:rFonts w:cs="Arial"/>
        </w:rPr>
      </w:pPr>
      <w:r w:rsidRPr="00882976">
        <w:rPr>
          <w:rFonts w:cs="Arial"/>
        </w:rPr>
        <w:t xml:space="preserve">In </w:t>
      </w:r>
      <w:r>
        <w:rPr>
          <w:rFonts w:cs="Arial"/>
        </w:rPr>
        <w:t>September 2017</w:t>
      </w:r>
      <w:r w:rsidRPr="00882976">
        <w:rPr>
          <w:rFonts w:cs="Arial"/>
        </w:rPr>
        <w:t xml:space="preserve"> </w:t>
      </w:r>
      <w:r>
        <w:rPr>
          <w:rFonts w:cs="Arial"/>
        </w:rPr>
        <w:t>Cabinet</w:t>
      </w:r>
      <w:r w:rsidRPr="00882976">
        <w:rPr>
          <w:rFonts w:cs="Arial"/>
        </w:rPr>
        <w:t xml:space="preserve"> received a</w:t>
      </w:r>
      <w:r>
        <w:rPr>
          <w:rFonts w:cs="Arial"/>
        </w:rPr>
        <w:t>n updated medium term financial strategy (MTFS)</w:t>
      </w:r>
      <w:r w:rsidRPr="00882976">
        <w:rPr>
          <w:rFonts w:cs="Arial"/>
        </w:rPr>
        <w:t xml:space="preserve"> </w:t>
      </w:r>
      <w:r>
        <w:rPr>
          <w:rFonts w:cs="Arial"/>
        </w:rPr>
        <w:t>summary o</w:t>
      </w:r>
      <w:r w:rsidRPr="00882976">
        <w:rPr>
          <w:rFonts w:cs="Arial"/>
        </w:rPr>
        <w:t>utlining the latest financial position facing Lancashire Counc</w:t>
      </w:r>
      <w:r w:rsidR="00833784">
        <w:rPr>
          <w:rFonts w:cs="Arial"/>
        </w:rPr>
        <w:t>il which covered the period 2018/19</w:t>
      </w:r>
      <w:r w:rsidRPr="00882976">
        <w:rPr>
          <w:rFonts w:cs="Arial"/>
        </w:rPr>
        <w:t xml:space="preserve"> – 202</w:t>
      </w:r>
      <w:r>
        <w:rPr>
          <w:rFonts w:cs="Arial"/>
        </w:rPr>
        <w:t>1/22 as at 30</w:t>
      </w:r>
      <w:r w:rsidRPr="008752B5">
        <w:rPr>
          <w:rFonts w:cs="Arial"/>
          <w:vertAlign w:val="superscript"/>
        </w:rPr>
        <w:t>th</w:t>
      </w:r>
      <w:r>
        <w:rPr>
          <w:rFonts w:cs="Arial"/>
        </w:rPr>
        <w:t xml:space="preserve"> June 2017 (Quarter 1)</w:t>
      </w:r>
      <w:r w:rsidRPr="00882976">
        <w:rPr>
          <w:rFonts w:cs="Arial"/>
        </w:rPr>
        <w:t xml:space="preserve"> and estimated an in year funding gap </w:t>
      </w:r>
      <w:r w:rsidRPr="008752B5">
        <w:rPr>
          <w:rFonts w:cs="Arial"/>
        </w:rPr>
        <w:t>of £</w:t>
      </w:r>
      <w:r>
        <w:rPr>
          <w:rFonts w:cs="Arial"/>
        </w:rPr>
        <w:t>167.132</w:t>
      </w:r>
      <w:r w:rsidRPr="008752B5">
        <w:rPr>
          <w:rFonts w:cs="Arial"/>
        </w:rPr>
        <w:t xml:space="preserve">m by the end of the 4 year period. </w:t>
      </w:r>
    </w:p>
    <w:p w:rsidR="00DD2A06" w:rsidRPr="00882976" w:rsidRDefault="00DD2A06" w:rsidP="00DD2A06">
      <w:pPr>
        <w:tabs>
          <w:tab w:val="left" w:pos="567"/>
          <w:tab w:val="left" w:pos="1134"/>
        </w:tabs>
        <w:spacing w:after="0"/>
        <w:rPr>
          <w:rFonts w:cs="Arial"/>
        </w:rPr>
      </w:pPr>
    </w:p>
    <w:p w:rsidR="00292EC2" w:rsidRDefault="00DD2A06" w:rsidP="00DD2A06">
      <w:pPr>
        <w:tabs>
          <w:tab w:val="left" w:pos="567"/>
          <w:tab w:val="left" w:pos="1134"/>
        </w:tabs>
        <w:spacing w:after="0"/>
        <w:rPr>
          <w:rFonts w:cs="Arial"/>
        </w:rPr>
      </w:pPr>
      <w:r w:rsidRPr="000740AB">
        <w:rPr>
          <w:rFonts w:cs="Arial"/>
        </w:rPr>
        <w:t xml:space="preserve">This report provides an updated position </w:t>
      </w:r>
      <w:r>
        <w:rPr>
          <w:rFonts w:cs="Arial"/>
        </w:rPr>
        <w:t>for the period 2018/19 - 2021/22 and</w:t>
      </w:r>
      <w:r w:rsidRPr="000740AB">
        <w:rPr>
          <w:rFonts w:cs="Arial"/>
        </w:rPr>
        <w:t xml:space="preserve"> a review of the </w:t>
      </w:r>
      <w:r w:rsidRPr="004D389F">
        <w:rPr>
          <w:rFonts w:cs="Arial"/>
        </w:rPr>
        <w:t>existing assumptions to reflect the most current information available. As a result of these reviews</w:t>
      </w:r>
      <w:r>
        <w:rPr>
          <w:rFonts w:cs="Arial"/>
        </w:rPr>
        <w:t xml:space="preserve">, increases to the level of capital receipts and the </w:t>
      </w:r>
      <w:r w:rsidRPr="008752B5">
        <w:rPr>
          <w:rFonts w:cs="Arial"/>
        </w:rPr>
        <w:t xml:space="preserve">identification of </w:t>
      </w:r>
      <w:r>
        <w:rPr>
          <w:rFonts w:cs="Arial"/>
        </w:rPr>
        <w:t>£12.577</w:t>
      </w:r>
      <w:r w:rsidRPr="008752B5">
        <w:rPr>
          <w:rFonts w:cs="Arial"/>
        </w:rPr>
        <w:t>m of</w:t>
      </w:r>
      <w:r>
        <w:rPr>
          <w:rFonts w:cs="Arial"/>
        </w:rPr>
        <w:t xml:space="preserve"> new savings </w:t>
      </w:r>
      <w:r w:rsidRPr="004D389F">
        <w:rPr>
          <w:rFonts w:cs="Arial"/>
        </w:rPr>
        <w:t xml:space="preserve">the funding gap has </w:t>
      </w:r>
      <w:r>
        <w:rPr>
          <w:rFonts w:cs="Arial"/>
        </w:rPr>
        <w:t>reduced</w:t>
      </w:r>
      <w:r w:rsidRPr="008752B5">
        <w:rPr>
          <w:rFonts w:cs="Arial"/>
        </w:rPr>
        <w:t xml:space="preserve"> to £16</w:t>
      </w:r>
      <w:r>
        <w:rPr>
          <w:rFonts w:cs="Arial"/>
        </w:rPr>
        <w:t>1.218</w:t>
      </w:r>
      <w:r w:rsidRPr="008752B5">
        <w:rPr>
          <w:rFonts w:cs="Arial"/>
        </w:rPr>
        <w:t xml:space="preserve">m. </w:t>
      </w:r>
      <w:r>
        <w:rPr>
          <w:rFonts w:cs="Arial"/>
        </w:rPr>
        <w:t xml:space="preserve">Offsetting these improvements are demand and inflationary pressures. </w:t>
      </w:r>
    </w:p>
    <w:p w:rsidR="00292EC2" w:rsidRDefault="00292EC2" w:rsidP="00DD2A06">
      <w:pPr>
        <w:tabs>
          <w:tab w:val="left" w:pos="567"/>
          <w:tab w:val="left" w:pos="1134"/>
        </w:tabs>
        <w:spacing w:after="0"/>
        <w:rPr>
          <w:rFonts w:cs="Arial"/>
        </w:rPr>
      </w:pPr>
    </w:p>
    <w:p w:rsidR="00DD2A06" w:rsidRPr="00882976" w:rsidRDefault="00292EC2" w:rsidP="00DD2A06">
      <w:pPr>
        <w:tabs>
          <w:tab w:val="left" w:pos="567"/>
          <w:tab w:val="left" w:pos="1134"/>
        </w:tabs>
        <w:spacing w:after="0"/>
        <w:rPr>
          <w:rFonts w:cs="Arial"/>
        </w:rPr>
      </w:pPr>
      <w:r>
        <w:rPr>
          <w:rFonts w:cs="Arial"/>
        </w:rPr>
        <w:t>It</w:t>
      </w:r>
      <w:r w:rsidRPr="00292EC2">
        <w:rPr>
          <w:rFonts w:cs="Arial"/>
        </w:rPr>
        <w:t xml:space="preserve"> is important to note that the funding gap is not evenly spread, with a gap of £64.765m forecast for 2018/19, £90.292m in 2019/20, £143.425m in 2020/21 and £161.218m in 2021/22.</w:t>
      </w:r>
    </w:p>
    <w:p w:rsidR="00DD2A06" w:rsidRDefault="00DD2A06" w:rsidP="00DD2A06">
      <w:pPr>
        <w:tabs>
          <w:tab w:val="left" w:pos="6430"/>
        </w:tabs>
        <w:spacing w:after="0"/>
        <w:rPr>
          <w:rFonts w:cs="Arial"/>
        </w:rPr>
      </w:pPr>
      <w:r>
        <w:rPr>
          <w:rFonts w:cs="Arial"/>
        </w:rPr>
        <w:tab/>
      </w:r>
    </w:p>
    <w:p w:rsidR="00DD2A06" w:rsidRPr="00B0660A" w:rsidRDefault="00DD2A06" w:rsidP="00DD2A06">
      <w:pPr>
        <w:tabs>
          <w:tab w:val="left" w:pos="6430"/>
        </w:tabs>
        <w:spacing w:after="0"/>
        <w:rPr>
          <w:rFonts w:cs="Arial"/>
        </w:rPr>
      </w:pPr>
      <w:r w:rsidRPr="00882976">
        <w:rPr>
          <w:rFonts w:cs="Arial"/>
          <w:b/>
        </w:rPr>
        <w:t>1.2 Finan</w:t>
      </w:r>
      <w:r>
        <w:rPr>
          <w:rFonts w:cs="Arial"/>
          <w:b/>
        </w:rPr>
        <w:t>cial Overview 2018/19 – 2021/22</w:t>
      </w:r>
    </w:p>
    <w:p w:rsidR="00DD2A06" w:rsidRPr="00882976" w:rsidRDefault="00DD2A06" w:rsidP="00DD2A06">
      <w:pPr>
        <w:tabs>
          <w:tab w:val="left" w:pos="567"/>
          <w:tab w:val="left" w:pos="1134"/>
        </w:tabs>
        <w:spacing w:after="0"/>
        <w:rPr>
          <w:rFonts w:cs="Arial"/>
          <w:b/>
        </w:rPr>
      </w:pPr>
    </w:p>
    <w:p w:rsidR="00DD2A06" w:rsidRPr="00990E77" w:rsidRDefault="00DD2A06" w:rsidP="00DD2A06">
      <w:pPr>
        <w:pStyle w:val="NoSpacing"/>
        <w:jc w:val="both"/>
        <w:rPr>
          <w:rFonts w:cs="Arial"/>
          <w:szCs w:val="24"/>
        </w:rPr>
      </w:pPr>
      <w:r w:rsidRPr="00990E77">
        <w:rPr>
          <w:rFonts w:cs="Arial"/>
          <w:szCs w:val="24"/>
        </w:rPr>
        <w:t xml:space="preserve">Under a separate Money Matters report the County Council's financial position for </w:t>
      </w:r>
      <w:r w:rsidRPr="008752B5">
        <w:rPr>
          <w:rFonts w:cs="Arial"/>
          <w:szCs w:val="24"/>
        </w:rPr>
        <w:t>2017/18 as at 30 September 2017 has been</w:t>
      </w:r>
      <w:r w:rsidRPr="00990E77">
        <w:rPr>
          <w:rFonts w:cs="Arial"/>
          <w:szCs w:val="24"/>
        </w:rPr>
        <w:t xml:space="preserve"> </w:t>
      </w:r>
      <w:r w:rsidRPr="008752B5">
        <w:rPr>
          <w:rFonts w:cs="Arial"/>
          <w:szCs w:val="24"/>
        </w:rPr>
        <w:t>outlined (£</w:t>
      </w:r>
      <w:r>
        <w:rPr>
          <w:rFonts w:cs="Arial"/>
          <w:szCs w:val="24"/>
        </w:rPr>
        <w:t>7.498</w:t>
      </w:r>
      <w:r w:rsidRPr="008752B5">
        <w:rPr>
          <w:rFonts w:cs="Arial"/>
          <w:szCs w:val="24"/>
        </w:rPr>
        <w:t>m forecast underspend),</w:t>
      </w:r>
      <w:r>
        <w:rPr>
          <w:rFonts w:cs="Arial"/>
          <w:szCs w:val="24"/>
        </w:rPr>
        <w:t xml:space="preserve"> although this is based on a revenue budget heavily supported by reserves. </w:t>
      </w:r>
    </w:p>
    <w:p w:rsidR="00DD2A06" w:rsidRPr="00D02E27" w:rsidRDefault="00DD2A06" w:rsidP="00DD2A06">
      <w:pPr>
        <w:pStyle w:val="NoSpacing"/>
        <w:rPr>
          <w:rFonts w:cs="Arial"/>
          <w:szCs w:val="24"/>
          <w:highlight w:val="yellow"/>
        </w:rPr>
      </w:pPr>
    </w:p>
    <w:p w:rsidR="00DD2A06" w:rsidRDefault="00DD2A06" w:rsidP="00DD2A06">
      <w:pPr>
        <w:pStyle w:val="NoSpacing"/>
        <w:rPr>
          <w:rFonts w:cs="Arial"/>
          <w:szCs w:val="24"/>
        </w:rPr>
      </w:pPr>
      <w:r w:rsidRPr="00990E77">
        <w:rPr>
          <w:rFonts w:cs="Arial"/>
          <w:szCs w:val="24"/>
        </w:rPr>
        <w:t>The assumptions made in the original MTFS have been reviewed and been updated to reflect the latest information available.</w:t>
      </w:r>
    </w:p>
    <w:p w:rsidR="00DD2A06" w:rsidRDefault="00DD2A06" w:rsidP="00DD2A06">
      <w:pPr>
        <w:pStyle w:val="NoSpacing"/>
        <w:rPr>
          <w:rFonts w:cs="Arial"/>
          <w:szCs w:val="24"/>
        </w:rPr>
      </w:pPr>
    </w:p>
    <w:p w:rsidR="00DD2A06" w:rsidRDefault="00DD2A06" w:rsidP="00DD2A06">
      <w:pPr>
        <w:pStyle w:val="NoSpacing"/>
        <w:rPr>
          <w:rFonts w:cs="Arial"/>
          <w:szCs w:val="24"/>
        </w:rPr>
      </w:pPr>
      <w:r>
        <w:rPr>
          <w:rFonts w:cs="Arial"/>
          <w:szCs w:val="24"/>
        </w:rPr>
        <w:t>The table on the next page</w:t>
      </w:r>
      <w:r w:rsidRPr="00882976">
        <w:rPr>
          <w:rFonts w:cs="Arial"/>
          <w:szCs w:val="24"/>
        </w:rPr>
        <w:t xml:space="preserve"> </w:t>
      </w:r>
      <w:r>
        <w:rPr>
          <w:rFonts w:cs="Arial"/>
          <w:szCs w:val="24"/>
        </w:rPr>
        <w:t>provides a detailed analysis of</w:t>
      </w:r>
      <w:r w:rsidRPr="00882976">
        <w:rPr>
          <w:rFonts w:cs="Arial"/>
          <w:szCs w:val="24"/>
        </w:rPr>
        <w:t xml:space="preserve"> movements between the previously reported financial gap and the revised financial gap:</w:t>
      </w:r>
    </w:p>
    <w:p w:rsidR="00DD2A06" w:rsidRDefault="00DD2A06" w:rsidP="00DD2A06">
      <w:pPr>
        <w:pStyle w:val="NoSpacing"/>
        <w:rPr>
          <w:rFonts w:cs="Arial"/>
          <w:szCs w:val="24"/>
        </w:rPr>
      </w:pPr>
    </w:p>
    <w:p w:rsidR="00DD2A06" w:rsidRDefault="00DD2A06" w:rsidP="00DD2A06">
      <w:pPr>
        <w:pStyle w:val="NoSpacing"/>
        <w:rPr>
          <w:rFonts w:cs="Arial"/>
          <w:szCs w:val="24"/>
        </w:rPr>
      </w:pPr>
    </w:p>
    <w:p w:rsidR="00DD2A06" w:rsidRDefault="00DD2A06" w:rsidP="00DD2A06">
      <w:pPr>
        <w:pStyle w:val="NoSpacing"/>
        <w:rPr>
          <w:rFonts w:cs="Arial"/>
          <w:szCs w:val="24"/>
        </w:rPr>
      </w:pPr>
    </w:p>
    <w:p w:rsidR="00DD2A06" w:rsidRDefault="00DD2A06" w:rsidP="00DD2A06">
      <w:pPr>
        <w:pStyle w:val="NoSpacing"/>
        <w:rPr>
          <w:rFonts w:cs="Arial"/>
          <w:szCs w:val="24"/>
        </w:rPr>
      </w:pPr>
    </w:p>
    <w:p w:rsidR="00DD2A06" w:rsidRDefault="00DD2A06" w:rsidP="00DD2A06">
      <w:pPr>
        <w:pStyle w:val="NoSpacing"/>
        <w:rPr>
          <w:rFonts w:cs="Arial"/>
          <w:szCs w:val="24"/>
        </w:rPr>
      </w:pPr>
    </w:p>
    <w:p w:rsidR="00DD2A06" w:rsidRDefault="00DD2A06" w:rsidP="00DD2A06">
      <w:pPr>
        <w:pStyle w:val="NoSpacing"/>
        <w:rPr>
          <w:rFonts w:cs="Arial"/>
          <w:szCs w:val="24"/>
        </w:rPr>
      </w:pPr>
    </w:p>
    <w:p w:rsidR="00DD2A06" w:rsidRDefault="00DD2A06" w:rsidP="00DD2A06">
      <w:pPr>
        <w:pStyle w:val="NoSpacing"/>
        <w:rPr>
          <w:rFonts w:cs="Arial"/>
          <w:szCs w:val="24"/>
        </w:rPr>
      </w:pPr>
    </w:p>
    <w:p w:rsidR="00DD2A06" w:rsidRDefault="00DD2A06" w:rsidP="00DD2A06">
      <w:pPr>
        <w:pStyle w:val="NoSpacing"/>
        <w:rPr>
          <w:rFonts w:cs="Arial"/>
          <w:szCs w:val="24"/>
        </w:rPr>
      </w:pPr>
    </w:p>
    <w:p w:rsidR="00DD2A06" w:rsidRDefault="00DD2A06" w:rsidP="00DD2A06">
      <w:pPr>
        <w:pStyle w:val="NoSpacing"/>
        <w:rPr>
          <w:rFonts w:cs="Arial"/>
          <w:szCs w:val="24"/>
        </w:rPr>
      </w:pPr>
    </w:p>
    <w:p w:rsidR="00DD2A06" w:rsidRDefault="00DD2A06" w:rsidP="00DD2A06">
      <w:pPr>
        <w:pStyle w:val="NoSpacing"/>
        <w:rPr>
          <w:rFonts w:cs="Arial"/>
          <w:szCs w:val="24"/>
        </w:rPr>
      </w:pPr>
    </w:p>
    <w:p w:rsidR="00DD2A06" w:rsidRDefault="00DD2A06" w:rsidP="00DD2A06">
      <w:pPr>
        <w:pStyle w:val="NoSpacing"/>
        <w:rPr>
          <w:rFonts w:cs="Arial"/>
          <w:szCs w:val="24"/>
        </w:rPr>
      </w:pPr>
    </w:p>
    <w:p w:rsidR="00DD2A06" w:rsidRDefault="00DD2A06" w:rsidP="00DD2A06">
      <w:pPr>
        <w:pStyle w:val="NoSpacing"/>
        <w:rPr>
          <w:rFonts w:cs="Arial"/>
          <w:szCs w:val="24"/>
        </w:rPr>
      </w:pPr>
    </w:p>
    <w:p w:rsidR="00DD2A06" w:rsidRPr="00882976" w:rsidRDefault="00DD2A06" w:rsidP="00DD2A06">
      <w:pPr>
        <w:pStyle w:val="NoSpacing"/>
        <w:rPr>
          <w:rFonts w:cs="Arial"/>
          <w:szCs w:val="24"/>
        </w:rPr>
      </w:pPr>
    </w:p>
    <w:tbl>
      <w:tblPr>
        <w:tblW w:w="9540" w:type="dxa"/>
        <w:tblLook w:val="04A0" w:firstRow="1" w:lastRow="0" w:firstColumn="1" w:lastColumn="0" w:noHBand="0" w:noVBand="1"/>
      </w:tblPr>
      <w:tblGrid>
        <w:gridCol w:w="3040"/>
        <w:gridCol w:w="1419"/>
        <w:gridCol w:w="1299"/>
        <w:gridCol w:w="1359"/>
        <w:gridCol w:w="1339"/>
        <w:gridCol w:w="1084"/>
      </w:tblGrid>
      <w:tr w:rsidR="00883109" w:rsidTr="00DD2A06">
        <w:trPr>
          <w:trHeight w:val="300"/>
        </w:trPr>
        <w:tc>
          <w:tcPr>
            <w:tcW w:w="3040" w:type="dxa"/>
            <w:tcBorders>
              <w:top w:val="single" w:sz="8" w:space="0" w:color="auto"/>
              <w:left w:val="single" w:sz="8" w:space="0" w:color="auto"/>
              <w:bottom w:val="nil"/>
              <w:right w:val="single" w:sz="8" w:space="0" w:color="auto"/>
            </w:tcBorders>
            <w:shd w:val="clear" w:color="000000" w:fill="BDD7EE"/>
            <w:hideMark/>
          </w:tcPr>
          <w:p w:rsidR="00DD2A06" w:rsidRPr="00675D5A" w:rsidRDefault="00DD2A06" w:rsidP="00DD2A06">
            <w:pPr>
              <w:autoSpaceDE/>
              <w:autoSpaceDN/>
              <w:adjustRightInd/>
              <w:spacing w:after="0"/>
              <w:jc w:val="left"/>
              <w:rPr>
                <w:rFonts w:eastAsia="Times New Roman" w:cs="Arial"/>
                <w:lang w:eastAsia="en-GB"/>
              </w:rPr>
            </w:pPr>
            <w:r w:rsidRPr="00675D5A">
              <w:rPr>
                <w:rFonts w:eastAsia="Times New Roman" w:cs="Arial"/>
                <w:lang w:eastAsia="en-GB"/>
              </w:rPr>
              <w:t> </w:t>
            </w:r>
          </w:p>
        </w:tc>
        <w:tc>
          <w:tcPr>
            <w:tcW w:w="1419" w:type="dxa"/>
            <w:tcBorders>
              <w:top w:val="single" w:sz="8" w:space="0" w:color="auto"/>
              <w:left w:val="nil"/>
              <w:bottom w:val="nil"/>
              <w:right w:val="single" w:sz="8" w:space="0" w:color="auto"/>
            </w:tcBorders>
            <w:shd w:val="clear" w:color="000000" w:fill="BDD7EE"/>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2018/19</w:t>
            </w:r>
          </w:p>
        </w:tc>
        <w:tc>
          <w:tcPr>
            <w:tcW w:w="1299" w:type="dxa"/>
            <w:tcBorders>
              <w:top w:val="single" w:sz="8" w:space="0" w:color="auto"/>
              <w:left w:val="nil"/>
              <w:bottom w:val="nil"/>
              <w:right w:val="single" w:sz="8" w:space="0" w:color="auto"/>
            </w:tcBorders>
            <w:shd w:val="clear" w:color="000000" w:fill="BDD7EE"/>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2019/20</w:t>
            </w:r>
          </w:p>
        </w:tc>
        <w:tc>
          <w:tcPr>
            <w:tcW w:w="1359" w:type="dxa"/>
            <w:tcBorders>
              <w:top w:val="single" w:sz="8" w:space="0" w:color="auto"/>
              <w:left w:val="nil"/>
              <w:bottom w:val="nil"/>
              <w:right w:val="single" w:sz="8" w:space="0" w:color="auto"/>
            </w:tcBorders>
            <w:shd w:val="clear" w:color="000000" w:fill="BDD7EE"/>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2020/21</w:t>
            </w:r>
          </w:p>
        </w:tc>
        <w:tc>
          <w:tcPr>
            <w:tcW w:w="1339" w:type="dxa"/>
            <w:tcBorders>
              <w:top w:val="single" w:sz="8" w:space="0" w:color="auto"/>
              <w:left w:val="nil"/>
              <w:bottom w:val="nil"/>
              <w:right w:val="single" w:sz="8" w:space="0" w:color="auto"/>
            </w:tcBorders>
            <w:shd w:val="clear" w:color="000000" w:fill="BDD7EE"/>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2021/22</w:t>
            </w:r>
          </w:p>
        </w:tc>
        <w:tc>
          <w:tcPr>
            <w:tcW w:w="1084" w:type="dxa"/>
            <w:tcBorders>
              <w:top w:val="single" w:sz="8" w:space="0" w:color="auto"/>
              <w:left w:val="nil"/>
              <w:bottom w:val="nil"/>
              <w:right w:val="single" w:sz="8" w:space="0" w:color="auto"/>
            </w:tcBorders>
            <w:shd w:val="clear" w:color="000000" w:fill="BDD7EE"/>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Total</w:t>
            </w:r>
          </w:p>
        </w:tc>
      </w:tr>
      <w:tr w:rsidR="00883109" w:rsidTr="00DD2A06">
        <w:trPr>
          <w:trHeight w:val="315"/>
        </w:trPr>
        <w:tc>
          <w:tcPr>
            <w:tcW w:w="3040" w:type="dxa"/>
            <w:tcBorders>
              <w:top w:val="nil"/>
              <w:left w:val="single" w:sz="8" w:space="0" w:color="auto"/>
              <w:bottom w:val="single" w:sz="8" w:space="0" w:color="auto"/>
              <w:right w:val="single" w:sz="8" w:space="0" w:color="auto"/>
            </w:tcBorders>
            <w:shd w:val="clear" w:color="000000" w:fill="BDD7EE"/>
            <w:hideMark/>
          </w:tcPr>
          <w:p w:rsidR="00DD2A06" w:rsidRPr="00675D5A" w:rsidRDefault="00DD2A06" w:rsidP="00DD2A06">
            <w:pPr>
              <w:autoSpaceDE/>
              <w:autoSpaceDN/>
              <w:adjustRightInd/>
              <w:spacing w:after="0"/>
              <w:jc w:val="left"/>
              <w:rPr>
                <w:rFonts w:eastAsia="Times New Roman" w:cs="Arial"/>
                <w:lang w:eastAsia="en-GB"/>
              </w:rPr>
            </w:pPr>
            <w:r w:rsidRPr="00675D5A">
              <w:rPr>
                <w:rFonts w:eastAsia="Times New Roman" w:cs="Arial"/>
                <w:lang w:eastAsia="en-GB"/>
              </w:rPr>
              <w:t> </w:t>
            </w:r>
          </w:p>
        </w:tc>
        <w:tc>
          <w:tcPr>
            <w:tcW w:w="1419" w:type="dxa"/>
            <w:tcBorders>
              <w:top w:val="nil"/>
              <w:left w:val="nil"/>
              <w:bottom w:val="single" w:sz="8" w:space="0" w:color="auto"/>
              <w:right w:val="single" w:sz="8" w:space="0" w:color="auto"/>
            </w:tcBorders>
            <w:shd w:val="clear" w:color="000000" w:fill="BDD7EE"/>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£m</w:t>
            </w:r>
          </w:p>
        </w:tc>
        <w:tc>
          <w:tcPr>
            <w:tcW w:w="1299" w:type="dxa"/>
            <w:tcBorders>
              <w:top w:val="nil"/>
              <w:left w:val="nil"/>
              <w:bottom w:val="single" w:sz="8" w:space="0" w:color="auto"/>
              <w:right w:val="single" w:sz="8" w:space="0" w:color="auto"/>
            </w:tcBorders>
            <w:shd w:val="clear" w:color="000000" w:fill="BDD7EE"/>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£m</w:t>
            </w:r>
          </w:p>
        </w:tc>
        <w:tc>
          <w:tcPr>
            <w:tcW w:w="1359" w:type="dxa"/>
            <w:tcBorders>
              <w:top w:val="nil"/>
              <w:left w:val="nil"/>
              <w:bottom w:val="single" w:sz="8" w:space="0" w:color="auto"/>
              <w:right w:val="single" w:sz="8" w:space="0" w:color="auto"/>
            </w:tcBorders>
            <w:shd w:val="clear" w:color="000000" w:fill="BDD7EE"/>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£m</w:t>
            </w:r>
          </w:p>
        </w:tc>
        <w:tc>
          <w:tcPr>
            <w:tcW w:w="1339" w:type="dxa"/>
            <w:tcBorders>
              <w:top w:val="nil"/>
              <w:left w:val="nil"/>
              <w:bottom w:val="single" w:sz="8" w:space="0" w:color="auto"/>
              <w:right w:val="single" w:sz="8" w:space="0" w:color="auto"/>
            </w:tcBorders>
            <w:shd w:val="clear" w:color="000000" w:fill="BDD7EE"/>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£m</w:t>
            </w:r>
          </w:p>
        </w:tc>
        <w:tc>
          <w:tcPr>
            <w:tcW w:w="1084" w:type="dxa"/>
            <w:tcBorders>
              <w:top w:val="nil"/>
              <w:left w:val="nil"/>
              <w:bottom w:val="single" w:sz="8" w:space="0" w:color="auto"/>
              <w:right w:val="single" w:sz="8" w:space="0" w:color="auto"/>
            </w:tcBorders>
            <w:shd w:val="clear" w:color="000000" w:fill="BDD7EE"/>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£m</w:t>
            </w:r>
          </w:p>
        </w:tc>
      </w:tr>
      <w:tr w:rsidR="00883109" w:rsidTr="00DD2A06">
        <w:trPr>
          <w:trHeight w:val="61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left"/>
              <w:rPr>
                <w:rFonts w:eastAsia="Times New Roman" w:cs="Arial"/>
                <w:b/>
                <w:bCs/>
                <w:lang w:eastAsia="en-GB"/>
              </w:rPr>
            </w:pPr>
            <w:r w:rsidRPr="00675D5A">
              <w:rPr>
                <w:rFonts w:eastAsia="Times New Roman" w:cs="Arial"/>
                <w:b/>
                <w:bCs/>
                <w:lang w:eastAsia="en-GB"/>
              </w:rPr>
              <w:t>Spending Gap as reported to Cabinet Q1</w:t>
            </w:r>
          </w:p>
        </w:tc>
        <w:tc>
          <w:tcPr>
            <w:tcW w:w="141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90.205</w:t>
            </w:r>
          </w:p>
        </w:tc>
        <w:tc>
          <w:tcPr>
            <w:tcW w:w="129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8.432</w:t>
            </w:r>
          </w:p>
        </w:tc>
        <w:tc>
          <w:tcPr>
            <w:tcW w:w="135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51.858</w:t>
            </w:r>
          </w:p>
        </w:tc>
        <w:tc>
          <w:tcPr>
            <w:tcW w:w="133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16.637</w:t>
            </w:r>
          </w:p>
        </w:tc>
        <w:tc>
          <w:tcPr>
            <w:tcW w:w="1084"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167.132</w:t>
            </w:r>
          </w:p>
        </w:tc>
      </w:tr>
      <w:tr w:rsidR="00883109" w:rsidTr="00DD2A06">
        <w:trPr>
          <w:trHeight w:val="615"/>
        </w:trPr>
        <w:tc>
          <w:tcPr>
            <w:tcW w:w="3040" w:type="dxa"/>
            <w:tcBorders>
              <w:top w:val="nil"/>
              <w:left w:val="single" w:sz="8" w:space="0" w:color="auto"/>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left"/>
              <w:rPr>
                <w:rFonts w:eastAsia="Times New Roman" w:cs="Arial"/>
                <w:lang w:eastAsia="en-GB"/>
              </w:rPr>
            </w:pPr>
            <w:r w:rsidRPr="00675D5A">
              <w:rPr>
                <w:rFonts w:eastAsia="Times New Roman" w:cs="Arial"/>
                <w:lang w:eastAsia="en-GB"/>
              </w:rPr>
              <w:t>Add change to forecast of spending:</w:t>
            </w:r>
          </w:p>
        </w:tc>
        <w:tc>
          <w:tcPr>
            <w:tcW w:w="1419"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 </w:t>
            </w:r>
          </w:p>
        </w:tc>
        <w:tc>
          <w:tcPr>
            <w:tcW w:w="1299"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 </w:t>
            </w:r>
          </w:p>
        </w:tc>
        <w:tc>
          <w:tcPr>
            <w:tcW w:w="1359"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 </w:t>
            </w:r>
          </w:p>
        </w:tc>
        <w:tc>
          <w:tcPr>
            <w:tcW w:w="1339"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 </w:t>
            </w:r>
          </w:p>
        </w:tc>
        <w:tc>
          <w:tcPr>
            <w:tcW w:w="1084"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 </w:t>
            </w:r>
          </w:p>
        </w:tc>
      </w:tr>
      <w:tr w:rsidR="00883109" w:rsidTr="00DD2A06">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left"/>
              <w:rPr>
                <w:rFonts w:eastAsia="Times New Roman" w:cs="Arial"/>
                <w:lang w:eastAsia="en-GB"/>
              </w:rPr>
            </w:pPr>
            <w:r w:rsidRPr="00675D5A">
              <w:rPr>
                <w:rFonts w:eastAsia="Times New Roman" w:cs="Arial"/>
                <w:lang w:eastAsia="en-GB"/>
              </w:rPr>
              <w:t>Pay &amp; Pensions</w:t>
            </w:r>
          </w:p>
        </w:tc>
        <w:tc>
          <w:tcPr>
            <w:tcW w:w="141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0.049</w:t>
            </w:r>
          </w:p>
        </w:tc>
        <w:tc>
          <w:tcPr>
            <w:tcW w:w="129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0.100</w:t>
            </w:r>
          </w:p>
        </w:tc>
        <w:tc>
          <w:tcPr>
            <w:tcW w:w="135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0.358</w:t>
            </w:r>
          </w:p>
        </w:tc>
        <w:tc>
          <w:tcPr>
            <w:tcW w:w="133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0.657</w:t>
            </w:r>
          </w:p>
        </w:tc>
        <w:tc>
          <w:tcPr>
            <w:tcW w:w="1084"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1.164</w:t>
            </w:r>
          </w:p>
        </w:tc>
      </w:tr>
      <w:tr w:rsidR="00883109" w:rsidTr="00DD2A06">
        <w:trPr>
          <w:trHeight w:val="40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left"/>
              <w:rPr>
                <w:rFonts w:eastAsia="Times New Roman" w:cs="Arial"/>
                <w:lang w:eastAsia="en-GB"/>
              </w:rPr>
            </w:pPr>
            <w:r w:rsidRPr="00675D5A">
              <w:rPr>
                <w:rFonts w:eastAsia="Times New Roman" w:cs="Arial"/>
                <w:lang w:eastAsia="en-GB"/>
              </w:rPr>
              <w:t>Inflation and Cost Changes</w:t>
            </w:r>
          </w:p>
        </w:tc>
        <w:tc>
          <w:tcPr>
            <w:tcW w:w="141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-0.248</w:t>
            </w:r>
          </w:p>
        </w:tc>
        <w:tc>
          <w:tcPr>
            <w:tcW w:w="129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0.074</w:t>
            </w:r>
          </w:p>
        </w:tc>
        <w:tc>
          <w:tcPr>
            <w:tcW w:w="135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0.076</w:t>
            </w:r>
          </w:p>
        </w:tc>
        <w:tc>
          <w:tcPr>
            <w:tcW w:w="133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0.068</w:t>
            </w:r>
          </w:p>
        </w:tc>
        <w:tc>
          <w:tcPr>
            <w:tcW w:w="1084"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-0.030</w:t>
            </w:r>
          </w:p>
        </w:tc>
      </w:tr>
      <w:tr w:rsidR="00883109" w:rsidTr="00DD2A06">
        <w:trPr>
          <w:trHeight w:val="61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left"/>
              <w:rPr>
                <w:rFonts w:eastAsia="Times New Roman" w:cs="Arial"/>
                <w:lang w:eastAsia="en-GB"/>
              </w:rPr>
            </w:pPr>
            <w:r w:rsidRPr="00675D5A">
              <w:rPr>
                <w:rFonts w:eastAsia="Times New Roman" w:cs="Arial"/>
                <w:lang w:eastAsia="en-GB"/>
              </w:rPr>
              <w:t>Service Demand and Volume Pressures</w:t>
            </w:r>
          </w:p>
        </w:tc>
        <w:tc>
          <w:tcPr>
            <w:tcW w:w="141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3.259</w:t>
            </w:r>
          </w:p>
        </w:tc>
        <w:tc>
          <w:tcPr>
            <w:tcW w:w="129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-0.003</w:t>
            </w:r>
          </w:p>
        </w:tc>
        <w:tc>
          <w:tcPr>
            <w:tcW w:w="135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-0.063</w:t>
            </w:r>
          </w:p>
        </w:tc>
        <w:tc>
          <w:tcPr>
            <w:tcW w:w="133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-0.010</w:t>
            </w:r>
          </w:p>
        </w:tc>
        <w:tc>
          <w:tcPr>
            <w:tcW w:w="1084"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3.182</w:t>
            </w:r>
          </w:p>
        </w:tc>
      </w:tr>
      <w:tr w:rsidR="00883109" w:rsidTr="00DD2A06">
        <w:trPr>
          <w:trHeight w:val="360"/>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left"/>
              <w:rPr>
                <w:rFonts w:eastAsia="Times New Roman" w:cs="Arial"/>
                <w:lang w:eastAsia="en-GB"/>
              </w:rPr>
            </w:pPr>
            <w:r w:rsidRPr="00675D5A">
              <w:rPr>
                <w:rFonts w:eastAsia="Times New Roman" w:cs="Arial"/>
                <w:lang w:eastAsia="en-GB"/>
              </w:rPr>
              <w:t>Other</w:t>
            </w:r>
          </w:p>
        </w:tc>
        <w:tc>
          <w:tcPr>
            <w:tcW w:w="141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-7.967</w:t>
            </w:r>
          </w:p>
        </w:tc>
        <w:tc>
          <w:tcPr>
            <w:tcW w:w="129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8.030</w:t>
            </w:r>
          </w:p>
        </w:tc>
        <w:tc>
          <w:tcPr>
            <w:tcW w:w="135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1.064</w:t>
            </w:r>
          </w:p>
        </w:tc>
        <w:tc>
          <w:tcPr>
            <w:tcW w:w="133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0.730</w:t>
            </w:r>
          </w:p>
        </w:tc>
        <w:tc>
          <w:tcPr>
            <w:tcW w:w="1084"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1.857</w:t>
            </w:r>
          </w:p>
        </w:tc>
      </w:tr>
      <w:tr w:rsidR="00883109" w:rsidTr="00DD2A06">
        <w:trPr>
          <w:trHeight w:val="375"/>
        </w:trPr>
        <w:tc>
          <w:tcPr>
            <w:tcW w:w="3040" w:type="dxa"/>
            <w:tcBorders>
              <w:top w:val="nil"/>
              <w:left w:val="single" w:sz="8" w:space="0" w:color="auto"/>
              <w:bottom w:val="single" w:sz="8" w:space="0" w:color="auto"/>
              <w:right w:val="single" w:sz="8" w:space="0" w:color="auto"/>
            </w:tcBorders>
            <w:shd w:val="clear" w:color="auto" w:fill="auto"/>
            <w:noWrap/>
            <w:vAlign w:val="bottom"/>
            <w:hideMark/>
          </w:tcPr>
          <w:p w:rsidR="00DD2A06" w:rsidRPr="00675D5A" w:rsidRDefault="00DD2A06" w:rsidP="00DD2A06">
            <w:pPr>
              <w:autoSpaceDE/>
              <w:autoSpaceDN/>
              <w:adjustRightInd/>
              <w:spacing w:after="0"/>
              <w:jc w:val="left"/>
              <w:rPr>
                <w:rFonts w:eastAsia="Times New Roman" w:cs="Arial"/>
                <w:color w:val="auto"/>
                <w:lang w:eastAsia="en-GB"/>
              </w:rPr>
            </w:pPr>
            <w:r w:rsidRPr="00675D5A">
              <w:rPr>
                <w:rFonts w:eastAsia="Times New Roman" w:cs="Arial"/>
                <w:color w:val="auto"/>
                <w:lang w:eastAsia="en-GB"/>
              </w:rPr>
              <w:t>Undeliverable Savings</w:t>
            </w:r>
          </w:p>
        </w:tc>
        <w:tc>
          <w:tcPr>
            <w:tcW w:w="141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0.490</w:t>
            </w:r>
          </w:p>
        </w:tc>
        <w:tc>
          <w:tcPr>
            <w:tcW w:w="129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0.000</w:t>
            </w:r>
          </w:p>
        </w:tc>
        <w:tc>
          <w:tcPr>
            <w:tcW w:w="135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0.000</w:t>
            </w:r>
          </w:p>
        </w:tc>
        <w:tc>
          <w:tcPr>
            <w:tcW w:w="133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0.000</w:t>
            </w:r>
          </w:p>
        </w:tc>
        <w:tc>
          <w:tcPr>
            <w:tcW w:w="1084"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color w:val="auto"/>
                <w:lang w:eastAsia="en-GB"/>
              </w:rPr>
            </w:pPr>
            <w:r w:rsidRPr="00675D5A">
              <w:rPr>
                <w:rFonts w:eastAsia="Times New Roman" w:cs="Arial"/>
                <w:b/>
                <w:bCs/>
                <w:color w:val="auto"/>
                <w:lang w:eastAsia="en-GB"/>
              </w:rPr>
              <w:t>0.490</w:t>
            </w:r>
          </w:p>
        </w:tc>
      </w:tr>
      <w:tr w:rsidR="00883109" w:rsidTr="00DD2A06">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left"/>
              <w:rPr>
                <w:rFonts w:eastAsia="Times New Roman" w:cs="Arial"/>
                <w:color w:val="auto"/>
                <w:lang w:eastAsia="en-GB"/>
              </w:rPr>
            </w:pPr>
            <w:r w:rsidRPr="00675D5A">
              <w:rPr>
                <w:rFonts w:eastAsia="Times New Roman" w:cs="Arial"/>
                <w:color w:val="auto"/>
                <w:lang w:eastAsia="en-GB"/>
              </w:rPr>
              <w:t>Additional Savings</w:t>
            </w:r>
          </w:p>
        </w:tc>
        <w:tc>
          <w:tcPr>
            <w:tcW w:w="141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-10.799</w:t>
            </w:r>
          </w:p>
        </w:tc>
        <w:tc>
          <w:tcPr>
            <w:tcW w:w="129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-1.778</w:t>
            </w:r>
          </w:p>
        </w:tc>
        <w:tc>
          <w:tcPr>
            <w:tcW w:w="135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0.000</w:t>
            </w:r>
          </w:p>
        </w:tc>
        <w:tc>
          <w:tcPr>
            <w:tcW w:w="133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0.000</w:t>
            </w:r>
          </w:p>
        </w:tc>
        <w:tc>
          <w:tcPr>
            <w:tcW w:w="1084"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color w:val="auto"/>
                <w:lang w:eastAsia="en-GB"/>
              </w:rPr>
            </w:pPr>
            <w:r w:rsidRPr="00675D5A">
              <w:rPr>
                <w:rFonts w:eastAsia="Times New Roman" w:cs="Arial"/>
                <w:b/>
                <w:bCs/>
                <w:color w:val="auto"/>
                <w:lang w:eastAsia="en-GB"/>
              </w:rPr>
              <w:t>-12.577</w:t>
            </w:r>
          </w:p>
        </w:tc>
      </w:tr>
      <w:tr w:rsidR="00883109" w:rsidTr="00DD2A06">
        <w:trPr>
          <w:trHeight w:val="34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left"/>
              <w:rPr>
                <w:rFonts w:eastAsia="Times New Roman" w:cs="Arial"/>
                <w:color w:val="auto"/>
                <w:lang w:eastAsia="en-GB"/>
              </w:rPr>
            </w:pPr>
            <w:r w:rsidRPr="00675D5A">
              <w:rPr>
                <w:rFonts w:eastAsia="Times New Roman" w:cs="Arial"/>
                <w:color w:val="auto"/>
                <w:lang w:eastAsia="en-GB"/>
              </w:rPr>
              <w:t>Reprofiled Savings</w:t>
            </w:r>
          </w:p>
        </w:tc>
        <w:tc>
          <w:tcPr>
            <w:tcW w:w="141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0.801</w:t>
            </w:r>
          </w:p>
        </w:tc>
        <w:tc>
          <w:tcPr>
            <w:tcW w:w="129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-0.352</w:t>
            </w:r>
          </w:p>
        </w:tc>
        <w:tc>
          <w:tcPr>
            <w:tcW w:w="135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-0.160</w:t>
            </w:r>
          </w:p>
        </w:tc>
        <w:tc>
          <w:tcPr>
            <w:tcW w:w="133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-0.289</w:t>
            </w:r>
          </w:p>
        </w:tc>
        <w:tc>
          <w:tcPr>
            <w:tcW w:w="1084"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color w:val="auto"/>
                <w:lang w:eastAsia="en-GB"/>
              </w:rPr>
            </w:pPr>
            <w:r w:rsidRPr="00675D5A">
              <w:rPr>
                <w:rFonts w:eastAsia="Times New Roman" w:cs="Arial"/>
                <w:b/>
                <w:bCs/>
                <w:color w:val="auto"/>
                <w:lang w:eastAsia="en-GB"/>
              </w:rPr>
              <w:t>0.000</w:t>
            </w:r>
          </w:p>
        </w:tc>
      </w:tr>
      <w:tr w:rsidR="00883109" w:rsidTr="00DD2A06">
        <w:trPr>
          <w:trHeight w:val="630"/>
        </w:trPr>
        <w:tc>
          <w:tcPr>
            <w:tcW w:w="3040" w:type="dxa"/>
            <w:tcBorders>
              <w:top w:val="nil"/>
              <w:left w:val="single" w:sz="8" w:space="0" w:color="auto"/>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left"/>
              <w:rPr>
                <w:rFonts w:eastAsia="Times New Roman" w:cs="Arial"/>
                <w:b/>
                <w:bCs/>
                <w:lang w:eastAsia="en-GB"/>
              </w:rPr>
            </w:pPr>
            <w:r w:rsidRPr="00675D5A">
              <w:rPr>
                <w:rFonts w:eastAsia="Times New Roman" w:cs="Arial"/>
                <w:b/>
                <w:bCs/>
                <w:lang w:eastAsia="en-GB"/>
              </w:rPr>
              <w:t>Total Change to Forecast of Spending</w:t>
            </w:r>
          </w:p>
        </w:tc>
        <w:tc>
          <w:tcPr>
            <w:tcW w:w="1419" w:type="dxa"/>
            <w:tcBorders>
              <w:top w:val="nil"/>
              <w:left w:val="nil"/>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-14.415</w:t>
            </w:r>
          </w:p>
        </w:tc>
        <w:tc>
          <w:tcPr>
            <w:tcW w:w="1299" w:type="dxa"/>
            <w:tcBorders>
              <w:top w:val="nil"/>
              <w:left w:val="nil"/>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6.070</w:t>
            </w:r>
          </w:p>
        </w:tc>
        <w:tc>
          <w:tcPr>
            <w:tcW w:w="1359" w:type="dxa"/>
            <w:tcBorders>
              <w:top w:val="nil"/>
              <w:left w:val="nil"/>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1.275</w:t>
            </w:r>
          </w:p>
        </w:tc>
        <w:tc>
          <w:tcPr>
            <w:tcW w:w="1339" w:type="dxa"/>
            <w:tcBorders>
              <w:top w:val="nil"/>
              <w:left w:val="nil"/>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1.156</w:t>
            </w:r>
          </w:p>
        </w:tc>
        <w:tc>
          <w:tcPr>
            <w:tcW w:w="1084" w:type="dxa"/>
            <w:tcBorders>
              <w:top w:val="nil"/>
              <w:left w:val="nil"/>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-5.914</w:t>
            </w:r>
          </w:p>
        </w:tc>
      </w:tr>
      <w:tr w:rsidR="00883109" w:rsidTr="00DD2A06">
        <w:trPr>
          <w:trHeight w:val="450"/>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left"/>
              <w:rPr>
                <w:rFonts w:eastAsia="Times New Roman" w:cs="Arial"/>
                <w:b/>
                <w:bCs/>
                <w:lang w:eastAsia="en-GB"/>
              </w:rPr>
            </w:pPr>
            <w:r w:rsidRPr="00675D5A">
              <w:rPr>
                <w:rFonts w:eastAsia="Times New Roman" w:cs="Arial"/>
                <w:b/>
                <w:bCs/>
                <w:lang w:eastAsia="en-GB"/>
              </w:rPr>
              <w:t> </w:t>
            </w:r>
          </w:p>
        </w:tc>
        <w:tc>
          <w:tcPr>
            <w:tcW w:w="141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 </w:t>
            </w:r>
          </w:p>
        </w:tc>
        <w:tc>
          <w:tcPr>
            <w:tcW w:w="129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 </w:t>
            </w:r>
          </w:p>
        </w:tc>
        <w:tc>
          <w:tcPr>
            <w:tcW w:w="135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 </w:t>
            </w:r>
          </w:p>
        </w:tc>
        <w:tc>
          <w:tcPr>
            <w:tcW w:w="133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 </w:t>
            </w:r>
          </w:p>
        </w:tc>
        <w:tc>
          <w:tcPr>
            <w:tcW w:w="1084"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 </w:t>
            </w:r>
          </w:p>
        </w:tc>
      </w:tr>
      <w:tr w:rsidR="00883109" w:rsidTr="00DD2A06">
        <w:trPr>
          <w:trHeight w:val="915"/>
        </w:trPr>
        <w:tc>
          <w:tcPr>
            <w:tcW w:w="3040" w:type="dxa"/>
            <w:tcBorders>
              <w:top w:val="nil"/>
              <w:left w:val="single" w:sz="8" w:space="0" w:color="auto"/>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left"/>
              <w:rPr>
                <w:rFonts w:eastAsia="Times New Roman" w:cs="Arial"/>
                <w:lang w:eastAsia="en-GB"/>
              </w:rPr>
            </w:pPr>
            <w:r w:rsidRPr="00675D5A">
              <w:rPr>
                <w:rFonts w:eastAsia="Times New Roman" w:cs="Arial"/>
                <w:lang w:eastAsia="en-GB"/>
              </w:rPr>
              <w:t>Change to forecast of resources:</w:t>
            </w:r>
          </w:p>
        </w:tc>
        <w:tc>
          <w:tcPr>
            <w:tcW w:w="1419"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 </w:t>
            </w:r>
          </w:p>
        </w:tc>
        <w:tc>
          <w:tcPr>
            <w:tcW w:w="1299"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 </w:t>
            </w:r>
          </w:p>
        </w:tc>
        <w:tc>
          <w:tcPr>
            <w:tcW w:w="1359"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 </w:t>
            </w:r>
          </w:p>
        </w:tc>
        <w:tc>
          <w:tcPr>
            <w:tcW w:w="1339"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 </w:t>
            </w:r>
          </w:p>
        </w:tc>
        <w:tc>
          <w:tcPr>
            <w:tcW w:w="1084"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 </w:t>
            </w:r>
          </w:p>
        </w:tc>
      </w:tr>
      <w:tr w:rsidR="00883109" w:rsidTr="00DD2A06">
        <w:trPr>
          <w:trHeight w:val="34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left"/>
              <w:rPr>
                <w:rFonts w:eastAsia="Times New Roman" w:cs="Arial"/>
                <w:lang w:eastAsia="en-GB"/>
              </w:rPr>
            </w:pPr>
            <w:r w:rsidRPr="00675D5A">
              <w:rPr>
                <w:rFonts w:eastAsia="Times New Roman" w:cs="Arial"/>
                <w:lang w:eastAsia="en-GB"/>
              </w:rPr>
              <w:t>Funding</w:t>
            </w:r>
          </w:p>
        </w:tc>
        <w:tc>
          <w:tcPr>
            <w:tcW w:w="141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-11.025</w:t>
            </w:r>
          </w:p>
        </w:tc>
        <w:tc>
          <w:tcPr>
            <w:tcW w:w="129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11.025</w:t>
            </w:r>
          </w:p>
        </w:tc>
        <w:tc>
          <w:tcPr>
            <w:tcW w:w="135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0.000</w:t>
            </w:r>
          </w:p>
        </w:tc>
        <w:tc>
          <w:tcPr>
            <w:tcW w:w="133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0.000</w:t>
            </w:r>
          </w:p>
        </w:tc>
        <w:tc>
          <w:tcPr>
            <w:tcW w:w="1084"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0.000</w:t>
            </w:r>
          </w:p>
        </w:tc>
      </w:tr>
      <w:tr w:rsidR="00883109" w:rsidTr="00DD2A06">
        <w:trPr>
          <w:trHeight w:val="6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left"/>
              <w:rPr>
                <w:rFonts w:eastAsia="Times New Roman" w:cs="Arial"/>
                <w:b/>
                <w:bCs/>
                <w:lang w:eastAsia="en-GB"/>
              </w:rPr>
            </w:pPr>
            <w:r w:rsidRPr="00675D5A">
              <w:rPr>
                <w:rFonts w:eastAsia="Times New Roman" w:cs="Arial"/>
                <w:b/>
                <w:bCs/>
                <w:lang w:eastAsia="en-GB"/>
              </w:rPr>
              <w:t>Total Change to Forecast of Resources</w:t>
            </w:r>
          </w:p>
        </w:tc>
        <w:tc>
          <w:tcPr>
            <w:tcW w:w="1419" w:type="dxa"/>
            <w:tcBorders>
              <w:top w:val="single" w:sz="8" w:space="0" w:color="auto"/>
              <w:left w:val="nil"/>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-11.025</w:t>
            </w:r>
          </w:p>
        </w:tc>
        <w:tc>
          <w:tcPr>
            <w:tcW w:w="1299" w:type="dxa"/>
            <w:tcBorders>
              <w:top w:val="single" w:sz="8" w:space="0" w:color="auto"/>
              <w:left w:val="nil"/>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11.025</w:t>
            </w:r>
          </w:p>
        </w:tc>
        <w:tc>
          <w:tcPr>
            <w:tcW w:w="1359" w:type="dxa"/>
            <w:tcBorders>
              <w:top w:val="single" w:sz="8" w:space="0" w:color="auto"/>
              <w:left w:val="nil"/>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0.000</w:t>
            </w:r>
          </w:p>
        </w:tc>
        <w:tc>
          <w:tcPr>
            <w:tcW w:w="1339" w:type="dxa"/>
            <w:tcBorders>
              <w:top w:val="single" w:sz="8" w:space="0" w:color="auto"/>
              <w:left w:val="nil"/>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0.000</w:t>
            </w:r>
          </w:p>
        </w:tc>
        <w:tc>
          <w:tcPr>
            <w:tcW w:w="1084" w:type="dxa"/>
            <w:tcBorders>
              <w:top w:val="single" w:sz="8" w:space="0" w:color="auto"/>
              <w:left w:val="nil"/>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0.000</w:t>
            </w:r>
          </w:p>
        </w:tc>
      </w:tr>
      <w:tr w:rsidR="00883109" w:rsidTr="00DD2A06">
        <w:trPr>
          <w:trHeight w:val="40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left"/>
              <w:rPr>
                <w:rFonts w:eastAsia="Times New Roman" w:cs="Arial"/>
                <w:lang w:eastAsia="en-GB"/>
              </w:rPr>
            </w:pPr>
            <w:r w:rsidRPr="00675D5A">
              <w:rPr>
                <w:rFonts w:eastAsia="Times New Roman" w:cs="Arial"/>
                <w:lang w:eastAsia="en-GB"/>
              </w:rPr>
              <w:t> </w:t>
            </w:r>
          </w:p>
        </w:tc>
        <w:tc>
          <w:tcPr>
            <w:tcW w:w="141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 </w:t>
            </w:r>
          </w:p>
        </w:tc>
        <w:tc>
          <w:tcPr>
            <w:tcW w:w="129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 </w:t>
            </w:r>
          </w:p>
        </w:tc>
        <w:tc>
          <w:tcPr>
            <w:tcW w:w="135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 </w:t>
            </w:r>
          </w:p>
        </w:tc>
        <w:tc>
          <w:tcPr>
            <w:tcW w:w="1339"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 </w:t>
            </w:r>
          </w:p>
        </w:tc>
        <w:tc>
          <w:tcPr>
            <w:tcW w:w="1084"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 </w:t>
            </w:r>
          </w:p>
        </w:tc>
      </w:tr>
      <w:tr w:rsidR="00883109" w:rsidTr="00DD2A06">
        <w:trPr>
          <w:trHeight w:val="315"/>
        </w:trPr>
        <w:tc>
          <w:tcPr>
            <w:tcW w:w="3040" w:type="dxa"/>
            <w:tcBorders>
              <w:top w:val="nil"/>
              <w:left w:val="single" w:sz="8" w:space="0" w:color="auto"/>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left"/>
              <w:rPr>
                <w:rFonts w:eastAsia="Times New Roman" w:cs="Arial"/>
                <w:b/>
                <w:bCs/>
                <w:lang w:eastAsia="en-GB"/>
              </w:rPr>
            </w:pPr>
            <w:r w:rsidRPr="00675D5A">
              <w:rPr>
                <w:rFonts w:eastAsia="Times New Roman" w:cs="Arial"/>
                <w:b/>
                <w:bCs/>
                <w:lang w:eastAsia="en-GB"/>
              </w:rPr>
              <w:t>Funding Gap</w:t>
            </w:r>
          </w:p>
        </w:tc>
        <w:tc>
          <w:tcPr>
            <w:tcW w:w="1419" w:type="dxa"/>
            <w:tcBorders>
              <w:top w:val="nil"/>
              <w:left w:val="nil"/>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64.765</w:t>
            </w:r>
          </w:p>
        </w:tc>
        <w:tc>
          <w:tcPr>
            <w:tcW w:w="1299" w:type="dxa"/>
            <w:tcBorders>
              <w:top w:val="nil"/>
              <w:left w:val="nil"/>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25.527</w:t>
            </w:r>
          </w:p>
        </w:tc>
        <w:tc>
          <w:tcPr>
            <w:tcW w:w="1359" w:type="dxa"/>
            <w:tcBorders>
              <w:top w:val="nil"/>
              <w:left w:val="nil"/>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53.133</w:t>
            </w:r>
          </w:p>
        </w:tc>
        <w:tc>
          <w:tcPr>
            <w:tcW w:w="1339" w:type="dxa"/>
            <w:tcBorders>
              <w:top w:val="nil"/>
              <w:left w:val="nil"/>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17.793</w:t>
            </w:r>
          </w:p>
        </w:tc>
        <w:tc>
          <w:tcPr>
            <w:tcW w:w="1084" w:type="dxa"/>
            <w:tcBorders>
              <w:top w:val="nil"/>
              <w:left w:val="nil"/>
              <w:bottom w:val="single" w:sz="8" w:space="0" w:color="auto"/>
              <w:right w:val="single" w:sz="8" w:space="0" w:color="auto"/>
            </w:tcBorders>
            <w:shd w:val="clear" w:color="000000" w:fill="D9D9D9"/>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161.218</w:t>
            </w:r>
          </w:p>
        </w:tc>
      </w:tr>
    </w:tbl>
    <w:p w:rsidR="00DD2A06" w:rsidRDefault="00DD2A06" w:rsidP="00DD2A06">
      <w:pPr>
        <w:spacing w:after="0"/>
        <w:rPr>
          <w:rFonts w:cs="Arial"/>
          <w:b/>
          <w:highlight w:val="yellow"/>
        </w:rPr>
      </w:pPr>
    </w:p>
    <w:p w:rsidR="00DD2A06" w:rsidRDefault="00DD2A06" w:rsidP="00DD2A06">
      <w:pPr>
        <w:spacing w:after="0"/>
        <w:jc w:val="center"/>
        <w:rPr>
          <w:rFonts w:cs="Arial"/>
          <w:b/>
          <w:highlight w:val="yellow"/>
        </w:rPr>
      </w:pPr>
    </w:p>
    <w:tbl>
      <w:tblPr>
        <w:tblW w:w="7660" w:type="dxa"/>
        <w:jc w:val="center"/>
        <w:tblLook w:val="04A0" w:firstRow="1" w:lastRow="0" w:firstColumn="1" w:lastColumn="0" w:noHBand="0" w:noVBand="1"/>
      </w:tblPr>
      <w:tblGrid>
        <w:gridCol w:w="2343"/>
        <w:gridCol w:w="997"/>
        <w:gridCol w:w="997"/>
        <w:gridCol w:w="1084"/>
        <w:gridCol w:w="1084"/>
        <w:gridCol w:w="1155"/>
      </w:tblGrid>
      <w:tr w:rsidR="00883109" w:rsidTr="00DD2A06">
        <w:trPr>
          <w:trHeight w:val="915"/>
          <w:jc w:val="center"/>
        </w:trPr>
        <w:tc>
          <w:tcPr>
            <w:tcW w:w="24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Aggregated Funding Gap</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 </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 </w:t>
            </w:r>
          </w:p>
        </w:tc>
        <w:tc>
          <w:tcPr>
            <w:tcW w:w="1040" w:type="dxa"/>
            <w:tcBorders>
              <w:top w:val="single" w:sz="8" w:space="0" w:color="auto"/>
              <w:left w:val="nil"/>
              <w:bottom w:val="nil"/>
              <w:right w:val="single" w:sz="8" w:space="0" w:color="auto"/>
            </w:tcBorders>
            <w:shd w:val="clear" w:color="000000" w:fill="BFBFBF"/>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 </w:t>
            </w:r>
          </w:p>
        </w:tc>
        <w:tc>
          <w:tcPr>
            <w:tcW w:w="1160" w:type="dxa"/>
            <w:tcBorders>
              <w:top w:val="single" w:sz="8" w:space="0" w:color="auto"/>
              <w:left w:val="nil"/>
              <w:bottom w:val="nil"/>
              <w:right w:val="single" w:sz="8" w:space="0" w:color="auto"/>
            </w:tcBorders>
            <w:shd w:val="clear" w:color="000000" w:fill="BFBFBF"/>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 xml:space="preserve">Total </w:t>
            </w:r>
          </w:p>
        </w:tc>
      </w:tr>
      <w:tr w:rsidR="00883109" w:rsidTr="00DD2A06">
        <w:trPr>
          <w:trHeight w:val="345"/>
          <w:jc w:val="center"/>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DD2A06" w:rsidRPr="00675D5A" w:rsidRDefault="00DD2A06" w:rsidP="00DD2A06">
            <w:pPr>
              <w:autoSpaceDE/>
              <w:autoSpaceDN/>
              <w:adjustRightInd/>
              <w:spacing w:after="0"/>
              <w:jc w:val="left"/>
              <w:rPr>
                <w:rFonts w:eastAsia="Times New Roman" w:cs="Arial"/>
                <w:b/>
                <w:bCs/>
                <w:lang w:eastAsia="en-GB"/>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DD2A06" w:rsidRPr="00675D5A" w:rsidRDefault="00DD2A06" w:rsidP="00DD2A06">
            <w:pPr>
              <w:autoSpaceDE/>
              <w:autoSpaceDN/>
              <w:adjustRightInd/>
              <w:spacing w:after="0"/>
              <w:jc w:val="left"/>
              <w:rPr>
                <w:rFonts w:eastAsia="Times New Roman" w:cs="Arial"/>
                <w:b/>
                <w:bCs/>
                <w:lang w:eastAsia="en-GB"/>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DD2A06" w:rsidRPr="00675D5A" w:rsidRDefault="00DD2A06" w:rsidP="00DD2A06">
            <w:pPr>
              <w:autoSpaceDE/>
              <w:autoSpaceDN/>
              <w:adjustRightInd/>
              <w:spacing w:after="0"/>
              <w:jc w:val="left"/>
              <w:rPr>
                <w:rFonts w:eastAsia="Times New Roman" w:cs="Arial"/>
                <w:b/>
                <w:bCs/>
                <w:lang w:eastAsia="en-GB"/>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DD2A06" w:rsidRPr="00675D5A" w:rsidRDefault="00DD2A06" w:rsidP="00DD2A06">
            <w:pPr>
              <w:autoSpaceDE/>
              <w:autoSpaceDN/>
              <w:adjustRightInd/>
              <w:spacing w:after="0"/>
              <w:jc w:val="left"/>
              <w:rPr>
                <w:rFonts w:eastAsia="Times New Roman" w:cs="Arial"/>
                <w:b/>
                <w:bCs/>
                <w:lang w:eastAsia="en-GB"/>
              </w:rPr>
            </w:pPr>
          </w:p>
        </w:tc>
        <w:tc>
          <w:tcPr>
            <w:tcW w:w="1040"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 </w:t>
            </w:r>
          </w:p>
        </w:tc>
        <w:tc>
          <w:tcPr>
            <w:tcW w:w="1160"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center"/>
              <w:rPr>
                <w:rFonts w:eastAsia="Times New Roman" w:cs="Arial"/>
                <w:b/>
                <w:bCs/>
                <w:lang w:eastAsia="en-GB"/>
              </w:rPr>
            </w:pPr>
            <w:r w:rsidRPr="00675D5A">
              <w:rPr>
                <w:rFonts w:eastAsia="Times New Roman" w:cs="Arial"/>
                <w:b/>
                <w:bCs/>
                <w:lang w:eastAsia="en-GB"/>
              </w:rPr>
              <w:t>£m</w:t>
            </w:r>
          </w:p>
        </w:tc>
      </w:tr>
      <w:tr w:rsidR="00883109" w:rsidTr="00DD2A06">
        <w:trPr>
          <w:trHeight w:val="435"/>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left"/>
              <w:rPr>
                <w:rFonts w:eastAsia="Times New Roman" w:cs="Arial"/>
                <w:b/>
                <w:bCs/>
                <w:lang w:eastAsia="en-GB"/>
              </w:rPr>
            </w:pPr>
            <w:r w:rsidRPr="00675D5A">
              <w:rPr>
                <w:rFonts w:eastAsia="Times New Roman" w:cs="Arial"/>
                <w:b/>
                <w:bCs/>
                <w:lang w:eastAsia="en-GB"/>
              </w:rPr>
              <w:t>2018/19 (£m)</w:t>
            </w:r>
          </w:p>
        </w:tc>
        <w:tc>
          <w:tcPr>
            <w:tcW w:w="100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64.765</w:t>
            </w:r>
          </w:p>
        </w:tc>
        <w:tc>
          <w:tcPr>
            <w:tcW w:w="100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64.765</w:t>
            </w:r>
          </w:p>
        </w:tc>
        <w:tc>
          <w:tcPr>
            <w:tcW w:w="106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64.765</w:t>
            </w:r>
          </w:p>
        </w:tc>
        <w:tc>
          <w:tcPr>
            <w:tcW w:w="104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64.765</w:t>
            </w:r>
          </w:p>
        </w:tc>
        <w:tc>
          <w:tcPr>
            <w:tcW w:w="116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259.061</w:t>
            </w:r>
          </w:p>
        </w:tc>
      </w:tr>
      <w:tr w:rsidR="00883109" w:rsidTr="00DD2A06">
        <w:trPr>
          <w:trHeight w:val="405"/>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left"/>
              <w:rPr>
                <w:rFonts w:eastAsia="Times New Roman" w:cs="Arial"/>
                <w:b/>
                <w:bCs/>
                <w:lang w:eastAsia="en-GB"/>
              </w:rPr>
            </w:pPr>
            <w:r w:rsidRPr="00675D5A">
              <w:rPr>
                <w:rFonts w:eastAsia="Times New Roman" w:cs="Arial"/>
                <w:b/>
                <w:bCs/>
                <w:lang w:eastAsia="en-GB"/>
              </w:rPr>
              <w:t>2019/20 (£m)</w:t>
            </w:r>
          </w:p>
        </w:tc>
        <w:tc>
          <w:tcPr>
            <w:tcW w:w="100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 </w:t>
            </w:r>
          </w:p>
        </w:tc>
        <w:tc>
          <w:tcPr>
            <w:tcW w:w="100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25.527</w:t>
            </w:r>
          </w:p>
        </w:tc>
        <w:tc>
          <w:tcPr>
            <w:tcW w:w="106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25.527</w:t>
            </w:r>
          </w:p>
        </w:tc>
        <w:tc>
          <w:tcPr>
            <w:tcW w:w="104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25.527</w:t>
            </w:r>
          </w:p>
        </w:tc>
        <w:tc>
          <w:tcPr>
            <w:tcW w:w="116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76.581</w:t>
            </w:r>
          </w:p>
        </w:tc>
      </w:tr>
      <w:tr w:rsidR="00883109" w:rsidTr="00DD2A06">
        <w:trPr>
          <w:trHeight w:val="330"/>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left"/>
              <w:rPr>
                <w:rFonts w:eastAsia="Times New Roman" w:cs="Arial"/>
                <w:b/>
                <w:bCs/>
                <w:lang w:eastAsia="en-GB"/>
              </w:rPr>
            </w:pPr>
            <w:r w:rsidRPr="00675D5A">
              <w:rPr>
                <w:rFonts w:eastAsia="Times New Roman" w:cs="Arial"/>
                <w:b/>
                <w:bCs/>
                <w:lang w:eastAsia="en-GB"/>
              </w:rPr>
              <w:t>2020/21 (£m)</w:t>
            </w:r>
          </w:p>
        </w:tc>
        <w:tc>
          <w:tcPr>
            <w:tcW w:w="100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 </w:t>
            </w:r>
          </w:p>
        </w:tc>
        <w:tc>
          <w:tcPr>
            <w:tcW w:w="100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 </w:t>
            </w:r>
          </w:p>
        </w:tc>
        <w:tc>
          <w:tcPr>
            <w:tcW w:w="106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53.133</w:t>
            </w:r>
          </w:p>
        </w:tc>
        <w:tc>
          <w:tcPr>
            <w:tcW w:w="104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53.133</w:t>
            </w:r>
          </w:p>
        </w:tc>
        <w:tc>
          <w:tcPr>
            <w:tcW w:w="116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106.265</w:t>
            </w:r>
          </w:p>
        </w:tc>
      </w:tr>
      <w:tr w:rsidR="00883109" w:rsidTr="00DD2A06">
        <w:trPr>
          <w:trHeight w:val="330"/>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left"/>
              <w:rPr>
                <w:rFonts w:eastAsia="Times New Roman" w:cs="Arial"/>
                <w:b/>
                <w:bCs/>
                <w:lang w:eastAsia="en-GB"/>
              </w:rPr>
            </w:pPr>
            <w:r w:rsidRPr="00675D5A">
              <w:rPr>
                <w:rFonts w:eastAsia="Times New Roman" w:cs="Arial"/>
                <w:b/>
                <w:bCs/>
                <w:lang w:eastAsia="en-GB"/>
              </w:rPr>
              <w:t>2021/22 (£m)</w:t>
            </w:r>
          </w:p>
        </w:tc>
        <w:tc>
          <w:tcPr>
            <w:tcW w:w="100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 </w:t>
            </w:r>
          </w:p>
        </w:tc>
        <w:tc>
          <w:tcPr>
            <w:tcW w:w="100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 </w:t>
            </w:r>
          </w:p>
        </w:tc>
        <w:tc>
          <w:tcPr>
            <w:tcW w:w="106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 </w:t>
            </w:r>
          </w:p>
        </w:tc>
        <w:tc>
          <w:tcPr>
            <w:tcW w:w="104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lang w:eastAsia="en-GB"/>
              </w:rPr>
            </w:pPr>
            <w:r w:rsidRPr="00675D5A">
              <w:rPr>
                <w:rFonts w:eastAsia="Times New Roman" w:cs="Arial"/>
                <w:lang w:eastAsia="en-GB"/>
              </w:rPr>
              <w:t>17.793</w:t>
            </w:r>
          </w:p>
        </w:tc>
        <w:tc>
          <w:tcPr>
            <w:tcW w:w="1160" w:type="dxa"/>
            <w:tcBorders>
              <w:top w:val="nil"/>
              <w:left w:val="nil"/>
              <w:bottom w:val="single" w:sz="8" w:space="0" w:color="auto"/>
              <w:right w:val="single" w:sz="8" w:space="0" w:color="auto"/>
            </w:tcBorders>
            <w:shd w:val="clear" w:color="auto" w:fill="auto"/>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17.793</w:t>
            </w:r>
          </w:p>
        </w:tc>
      </w:tr>
      <w:tr w:rsidR="00883109" w:rsidTr="00DD2A06">
        <w:trPr>
          <w:trHeight w:val="375"/>
          <w:jc w:val="center"/>
        </w:trPr>
        <w:tc>
          <w:tcPr>
            <w:tcW w:w="2400" w:type="dxa"/>
            <w:tcBorders>
              <w:top w:val="nil"/>
              <w:left w:val="single" w:sz="8" w:space="0" w:color="auto"/>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left"/>
              <w:rPr>
                <w:rFonts w:eastAsia="Times New Roman" w:cs="Arial"/>
                <w:b/>
                <w:bCs/>
                <w:lang w:eastAsia="en-GB"/>
              </w:rPr>
            </w:pPr>
            <w:r w:rsidRPr="00675D5A">
              <w:rPr>
                <w:rFonts w:eastAsia="Times New Roman" w:cs="Arial"/>
                <w:b/>
                <w:bCs/>
                <w:lang w:eastAsia="en-GB"/>
              </w:rPr>
              <w:t xml:space="preserve">Total </w:t>
            </w:r>
          </w:p>
        </w:tc>
        <w:tc>
          <w:tcPr>
            <w:tcW w:w="1000"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64.765</w:t>
            </w:r>
          </w:p>
        </w:tc>
        <w:tc>
          <w:tcPr>
            <w:tcW w:w="1000"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90.292</w:t>
            </w:r>
          </w:p>
        </w:tc>
        <w:tc>
          <w:tcPr>
            <w:tcW w:w="1060"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143.425</w:t>
            </w:r>
          </w:p>
        </w:tc>
        <w:tc>
          <w:tcPr>
            <w:tcW w:w="1040"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161.218</w:t>
            </w:r>
          </w:p>
        </w:tc>
        <w:tc>
          <w:tcPr>
            <w:tcW w:w="1160" w:type="dxa"/>
            <w:tcBorders>
              <w:top w:val="nil"/>
              <w:left w:val="nil"/>
              <w:bottom w:val="single" w:sz="8" w:space="0" w:color="auto"/>
              <w:right w:val="single" w:sz="8" w:space="0" w:color="auto"/>
            </w:tcBorders>
            <w:shd w:val="clear" w:color="000000" w:fill="BFBFBF"/>
            <w:vAlign w:val="center"/>
            <w:hideMark/>
          </w:tcPr>
          <w:p w:rsidR="00DD2A06" w:rsidRPr="00675D5A" w:rsidRDefault="00DD2A06" w:rsidP="00DD2A06">
            <w:pPr>
              <w:autoSpaceDE/>
              <w:autoSpaceDN/>
              <w:adjustRightInd/>
              <w:spacing w:after="0"/>
              <w:jc w:val="right"/>
              <w:rPr>
                <w:rFonts w:eastAsia="Times New Roman" w:cs="Arial"/>
                <w:b/>
                <w:bCs/>
                <w:lang w:eastAsia="en-GB"/>
              </w:rPr>
            </w:pPr>
            <w:r w:rsidRPr="00675D5A">
              <w:rPr>
                <w:rFonts w:eastAsia="Times New Roman" w:cs="Arial"/>
                <w:b/>
                <w:bCs/>
                <w:lang w:eastAsia="en-GB"/>
              </w:rPr>
              <w:t>459.701</w:t>
            </w:r>
          </w:p>
        </w:tc>
      </w:tr>
    </w:tbl>
    <w:p w:rsidR="00DD2A06" w:rsidRDefault="00DD2A06" w:rsidP="00DD2A06">
      <w:pPr>
        <w:spacing w:after="0"/>
        <w:rPr>
          <w:rFonts w:cs="Arial"/>
          <w:b/>
        </w:rPr>
      </w:pPr>
    </w:p>
    <w:p w:rsidR="00DD2A06" w:rsidRDefault="00DD2A06" w:rsidP="00DD2A06">
      <w:pPr>
        <w:spacing w:after="0"/>
        <w:rPr>
          <w:rFonts w:cs="Arial"/>
          <w:b/>
        </w:rPr>
      </w:pPr>
    </w:p>
    <w:p w:rsidR="00DD2A06" w:rsidRDefault="00DD2A06" w:rsidP="00DD2A06">
      <w:pPr>
        <w:spacing w:after="0"/>
        <w:rPr>
          <w:rFonts w:cs="Arial"/>
          <w:b/>
        </w:rPr>
      </w:pPr>
    </w:p>
    <w:p w:rsidR="00DD2A06" w:rsidRDefault="00DD2A06" w:rsidP="00DD2A06">
      <w:pPr>
        <w:spacing w:after="0"/>
        <w:rPr>
          <w:rFonts w:cs="Arial"/>
          <w:b/>
        </w:rPr>
      </w:pPr>
    </w:p>
    <w:p w:rsidR="00DD2A06" w:rsidRDefault="00DD2A06" w:rsidP="00DD2A06">
      <w:pPr>
        <w:spacing w:after="0"/>
        <w:rPr>
          <w:rFonts w:cs="Arial"/>
          <w:b/>
        </w:rPr>
      </w:pPr>
      <w:r w:rsidRPr="00882976">
        <w:rPr>
          <w:rFonts w:cs="Arial"/>
          <w:b/>
        </w:rPr>
        <w:t xml:space="preserve">1.3 </w:t>
      </w:r>
      <w:r>
        <w:rPr>
          <w:rFonts w:cs="Arial"/>
          <w:b/>
        </w:rPr>
        <w:t>Conclusion</w:t>
      </w:r>
    </w:p>
    <w:p w:rsidR="00DD2A06" w:rsidRPr="0016463C" w:rsidRDefault="00DD2A06" w:rsidP="00DD2A06">
      <w:pPr>
        <w:spacing w:after="0"/>
        <w:ind w:left="567" w:hanging="567"/>
        <w:rPr>
          <w:rFonts w:cs="Arial"/>
          <w:b/>
        </w:rPr>
      </w:pPr>
    </w:p>
    <w:p w:rsidR="00DD2A06" w:rsidRPr="00990E77" w:rsidRDefault="00DD2A06" w:rsidP="00DD2A06">
      <w:pPr>
        <w:spacing w:after="0"/>
        <w:rPr>
          <w:rFonts w:cs="Arial"/>
        </w:rPr>
      </w:pPr>
      <w:r w:rsidRPr="00990E77">
        <w:rPr>
          <w:rFonts w:cs="Arial"/>
        </w:rPr>
        <w:t xml:space="preserve">Lancashire County Council continues to face, as previously stated, an unprecedented period of financial constraint </w:t>
      </w:r>
      <w:r>
        <w:rPr>
          <w:rFonts w:cs="Arial"/>
        </w:rPr>
        <w:t xml:space="preserve">during the period covered by this MTFS. </w:t>
      </w:r>
    </w:p>
    <w:p w:rsidR="00DD2A06" w:rsidRDefault="00DD2A06" w:rsidP="00DD2A06">
      <w:pPr>
        <w:tabs>
          <w:tab w:val="left" w:pos="0"/>
        </w:tabs>
        <w:spacing w:after="0"/>
        <w:rPr>
          <w:rFonts w:cs="Arial"/>
        </w:rPr>
      </w:pPr>
    </w:p>
    <w:p w:rsidR="00DD2A06" w:rsidRPr="002F7A92" w:rsidRDefault="00DD2A06" w:rsidP="00DD2A06">
      <w:pPr>
        <w:tabs>
          <w:tab w:val="left" w:pos="0"/>
        </w:tabs>
        <w:spacing w:after="0"/>
        <w:rPr>
          <w:rFonts w:cs="Arial"/>
        </w:rPr>
      </w:pPr>
      <w:r>
        <w:rPr>
          <w:rFonts w:cs="Arial"/>
        </w:rPr>
        <w:t xml:space="preserve">The previous MTFS presented to Cabinet in September 2017 forecast a financial gap </w:t>
      </w:r>
      <w:r w:rsidRPr="008700D7">
        <w:rPr>
          <w:rFonts w:cs="Arial"/>
        </w:rPr>
        <w:t xml:space="preserve">totalling </w:t>
      </w:r>
      <w:r>
        <w:rPr>
          <w:rFonts w:cs="Arial"/>
        </w:rPr>
        <w:t>£167.132</w:t>
      </w:r>
      <w:r w:rsidRPr="008700D7">
        <w:rPr>
          <w:rFonts w:cs="Arial"/>
        </w:rPr>
        <w:t>m by 202</w:t>
      </w:r>
      <w:r>
        <w:rPr>
          <w:rFonts w:cs="Arial"/>
        </w:rPr>
        <w:t>1</w:t>
      </w:r>
      <w:r w:rsidRPr="008700D7">
        <w:rPr>
          <w:rFonts w:cs="Arial"/>
        </w:rPr>
        <w:t>/2</w:t>
      </w:r>
      <w:r>
        <w:rPr>
          <w:rFonts w:cs="Arial"/>
        </w:rPr>
        <w:t>2</w:t>
      </w:r>
      <w:r w:rsidRPr="008700D7">
        <w:rPr>
          <w:rFonts w:cs="Arial"/>
        </w:rPr>
        <w:t>. The</w:t>
      </w:r>
      <w:r>
        <w:rPr>
          <w:rFonts w:cs="Arial"/>
        </w:rPr>
        <w:t xml:space="preserve"> revised position reported in this MTFS indicates an improved financial gap </w:t>
      </w:r>
      <w:r w:rsidRPr="008700D7">
        <w:rPr>
          <w:rFonts w:cs="Arial"/>
        </w:rPr>
        <w:t xml:space="preserve">of </w:t>
      </w:r>
      <w:r>
        <w:rPr>
          <w:rFonts w:cs="Arial"/>
        </w:rPr>
        <w:t>£161.218</w:t>
      </w:r>
      <w:r w:rsidRPr="008700D7">
        <w:rPr>
          <w:rFonts w:cs="Arial"/>
        </w:rPr>
        <w:t>m by 202</w:t>
      </w:r>
      <w:r>
        <w:rPr>
          <w:rFonts w:cs="Arial"/>
        </w:rPr>
        <w:t>1</w:t>
      </w:r>
      <w:r w:rsidRPr="008700D7">
        <w:rPr>
          <w:rFonts w:cs="Arial"/>
        </w:rPr>
        <w:t>/2</w:t>
      </w:r>
      <w:r>
        <w:rPr>
          <w:rFonts w:cs="Arial"/>
        </w:rPr>
        <w:t>2. This revised position has changed</w:t>
      </w:r>
      <w:r w:rsidRPr="008700D7">
        <w:rPr>
          <w:rFonts w:cs="Arial"/>
        </w:rPr>
        <w:t xml:space="preserve"> predominantly as a result of the inclusion of new savings proposals offset by increasing</w:t>
      </w:r>
      <w:r>
        <w:rPr>
          <w:rFonts w:cs="Arial"/>
        </w:rPr>
        <w:t xml:space="preserve"> demand (particularly within Children's Social Care). </w:t>
      </w:r>
    </w:p>
    <w:p w:rsidR="00DD2A06" w:rsidRPr="00992EF1" w:rsidRDefault="00DD2A06" w:rsidP="00DD2A06">
      <w:pPr>
        <w:spacing w:after="0"/>
        <w:rPr>
          <w:rFonts w:cs="Arial"/>
          <w:highlight w:val="yellow"/>
        </w:rPr>
      </w:pPr>
    </w:p>
    <w:p w:rsidR="00DD2A06" w:rsidRPr="00992EF1" w:rsidRDefault="00DD2A06" w:rsidP="00DD2A06">
      <w:pPr>
        <w:spacing w:after="0"/>
        <w:rPr>
          <w:rFonts w:cs="Arial"/>
          <w:highlight w:val="yellow"/>
        </w:rPr>
      </w:pPr>
      <w:r w:rsidRPr="003672FA">
        <w:rPr>
          <w:rFonts w:cs="Arial"/>
        </w:rPr>
        <w:t xml:space="preserve">As part of the process of redesigning its services the County Council has previously explicitly recognised </w:t>
      </w:r>
      <w:r>
        <w:rPr>
          <w:rFonts w:cs="Arial"/>
        </w:rPr>
        <w:t>the</w:t>
      </w:r>
      <w:r w:rsidRPr="003672FA">
        <w:rPr>
          <w:rFonts w:cs="Arial"/>
        </w:rPr>
        <w:t xml:space="preserve"> need to utilise its reserves. Details on the</w:t>
      </w:r>
      <w:r>
        <w:rPr>
          <w:rFonts w:cs="Arial"/>
        </w:rPr>
        <w:t xml:space="preserve"> updated</w:t>
      </w:r>
      <w:r w:rsidRPr="003672FA">
        <w:rPr>
          <w:rFonts w:cs="Arial"/>
        </w:rPr>
        <w:t xml:space="preserve"> reserves </w:t>
      </w:r>
      <w:r>
        <w:rPr>
          <w:rFonts w:cs="Arial"/>
        </w:rPr>
        <w:t xml:space="preserve">position </w:t>
      </w:r>
      <w:r w:rsidRPr="003672FA">
        <w:rPr>
          <w:rFonts w:cs="Arial"/>
        </w:rPr>
        <w:t>are</w:t>
      </w:r>
      <w:r>
        <w:rPr>
          <w:rFonts w:cs="Arial"/>
        </w:rPr>
        <w:t xml:space="preserve"> provided</w:t>
      </w:r>
      <w:r w:rsidRPr="003672FA">
        <w:rPr>
          <w:rFonts w:cs="Arial"/>
        </w:rPr>
        <w:t xml:space="preserve"> in the Money Matters report Appendix C.  </w:t>
      </w:r>
    </w:p>
    <w:p w:rsidR="00DD2A06" w:rsidRPr="00992EF1" w:rsidRDefault="00DD2A06" w:rsidP="00DD2A06">
      <w:pPr>
        <w:spacing w:after="0"/>
        <w:rPr>
          <w:rFonts w:cs="Arial"/>
          <w:highlight w:val="yellow"/>
        </w:rPr>
      </w:pPr>
    </w:p>
    <w:p w:rsidR="00DD2A06" w:rsidRPr="00DB0FF9" w:rsidRDefault="00DD2A06" w:rsidP="00DD2A06">
      <w:pPr>
        <w:spacing w:after="0"/>
        <w:rPr>
          <w:rFonts w:cs="Arial"/>
          <w:highlight w:val="yellow"/>
        </w:rPr>
      </w:pPr>
      <w:r w:rsidRPr="003672FA">
        <w:rPr>
          <w:rFonts w:cs="Arial"/>
        </w:rPr>
        <w:t xml:space="preserve">When reviewing the County Council's Reserves </w:t>
      </w:r>
      <w:r>
        <w:rPr>
          <w:rFonts w:cs="Arial"/>
        </w:rPr>
        <w:t xml:space="preserve">(Appendix C) </w:t>
      </w:r>
      <w:r w:rsidRPr="003672FA">
        <w:rPr>
          <w:rFonts w:cs="Arial"/>
        </w:rPr>
        <w:t>in conjunction with the Medium Term</w:t>
      </w:r>
      <w:r>
        <w:rPr>
          <w:rFonts w:cs="Arial"/>
        </w:rPr>
        <w:t xml:space="preserve"> Financial Strategy</w:t>
      </w:r>
      <w:r w:rsidRPr="003672FA">
        <w:rPr>
          <w:rFonts w:cs="Arial"/>
        </w:rPr>
        <w:t xml:space="preserve"> the funding requirement to bridge the financial ga</w:t>
      </w:r>
      <w:r>
        <w:rPr>
          <w:rFonts w:cs="Arial"/>
        </w:rPr>
        <w:t xml:space="preserve">p in 2018/19 would </w:t>
      </w:r>
      <w:r w:rsidRPr="008700D7">
        <w:rPr>
          <w:rFonts w:cs="Arial"/>
        </w:rPr>
        <w:t>total £</w:t>
      </w:r>
      <w:r>
        <w:rPr>
          <w:rFonts w:cs="Arial"/>
        </w:rPr>
        <w:t>64.765</w:t>
      </w:r>
      <w:r w:rsidRPr="008700D7">
        <w:rPr>
          <w:rFonts w:cs="Arial"/>
        </w:rPr>
        <w:t>m. This position is a forecast dependent upon a number of key factors that are detailed within Appendix</w:t>
      </w:r>
      <w:r w:rsidRPr="00882976">
        <w:rPr>
          <w:rFonts w:cs="Arial"/>
        </w:rPr>
        <w:t xml:space="preserve"> C. </w:t>
      </w:r>
      <w:r>
        <w:rPr>
          <w:rFonts w:cs="Arial"/>
        </w:rPr>
        <w:t xml:space="preserve">It is important to note that reserves are a one off resource, </w:t>
      </w:r>
      <w:r w:rsidR="00C82527">
        <w:rPr>
          <w:rFonts w:cs="Arial"/>
        </w:rPr>
        <w:t xml:space="preserve">which excluding County Fund, </w:t>
      </w:r>
      <w:r>
        <w:rPr>
          <w:rFonts w:cs="Arial"/>
        </w:rPr>
        <w:t xml:space="preserve">based on the current forecast will be exhausted by 2019/20, and then not available to support a financial gap thereafter. </w:t>
      </w:r>
    </w:p>
    <w:p w:rsidR="00DD2A06" w:rsidRPr="00882976" w:rsidRDefault="00DD2A06" w:rsidP="00DD2A06">
      <w:pPr>
        <w:tabs>
          <w:tab w:val="left" w:pos="567"/>
          <w:tab w:val="left" w:pos="1134"/>
        </w:tabs>
        <w:spacing w:after="0"/>
        <w:ind w:left="360" w:hanging="360"/>
        <w:rPr>
          <w:rFonts w:cs="Arial"/>
          <w:b/>
        </w:rPr>
      </w:pPr>
    </w:p>
    <w:p w:rsidR="00DD2A06" w:rsidRPr="00882976" w:rsidRDefault="00DD2A06" w:rsidP="00DD2A06">
      <w:pPr>
        <w:tabs>
          <w:tab w:val="left" w:pos="567"/>
          <w:tab w:val="left" w:pos="1134"/>
        </w:tabs>
        <w:spacing w:after="0"/>
        <w:ind w:left="360" w:hanging="360"/>
        <w:rPr>
          <w:rFonts w:cs="Arial"/>
          <w:b/>
        </w:rPr>
      </w:pPr>
    </w:p>
    <w:p w:rsidR="00DD2A06" w:rsidRPr="00882976" w:rsidRDefault="00DD2A06" w:rsidP="00DD2A06">
      <w:pPr>
        <w:tabs>
          <w:tab w:val="left" w:pos="567"/>
          <w:tab w:val="left" w:pos="1134"/>
        </w:tabs>
        <w:spacing w:after="0"/>
        <w:ind w:left="360" w:hanging="360"/>
        <w:rPr>
          <w:rFonts w:cs="Arial"/>
          <w:b/>
        </w:rPr>
      </w:pPr>
    </w:p>
    <w:p w:rsidR="00DD2A06" w:rsidRPr="00882976" w:rsidRDefault="00DD2A06" w:rsidP="00DD2A06">
      <w:pPr>
        <w:tabs>
          <w:tab w:val="left" w:pos="567"/>
          <w:tab w:val="left" w:pos="1134"/>
        </w:tabs>
        <w:spacing w:after="0"/>
        <w:ind w:left="360" w:hanging="360"/>
        <w:rPr>
          <w:rFonts w:cs="Arial"/>
          <w:b/>
        </w:rPr>
      </w:pPr>
    </w:p>
    <w:p w:rsidR="00DD2A06" w:rsidRDefault="00DD2A06" w:rsidP="00DD2A06">
      <w:pPr>
        <w:tabs>
          <w:tab w:val="left" w:pos="567"/>
          <w:tab w:val="left" w:pos="1134"/>
        </w:tabs>
        <w:spacing w:after="0"/>
        <w:rPr>
          <w:rFonts w:cs="Arial"/>
          <w:b/>
        </w:rPr>
      </w:pPr>
    </w:p>
    <w:p w:rsidR="00DD2A06" w:rsidRDefault="00DD2A06" w:rsidP="00DD2A06">
      <w:pPr>
        <w:tabs>
          <w:tab w:val="left" w:pos="567"/>
          <w:tab w:val="left" w:pos="1134"/>
        </w:tabs>
        <w:spacing w:after="0"/>
        <w:rPr>
          <w:rFonts w:cs="Arial"/>
          <w:b/>
        </w:rPr>
      </w:pPr>
    </w:p>
    <w:p w:rsidR="00DD2A06" w:rsidRDefault="00DD2A06" w:rsidP="00DD2A06">
      <w:pPr>
        <w:tabs>
          <w:tab w:val="left" w:pos="567"/>
          <w:tab w:val="left" w:pos="1134"/>
        </w:tabs>
        <w:spacing w:after="0"/>
        <w:rPr>
          <w:rFonts w:cs="Arial"/>
          <w:b/>
        </w:rPr>
      </w:pPr>
    </w:p>
    <w:p w:rsidR="00DD2A06" w:rsidRDefault="00DD2A06" w:rsidP="00DD2A06">
      <w:pPr>
        <w:tabs>
          <w:tab w:val="left" w:pos="567"/>
          <w:tab w:val="left" w:pos="1134"/>
        </w:tabs>
        <w:spacing w:after="0"/>
        <w:rPr>
          <w:rFonts w:cs="Arial"/>
          <w:b/>
        </w:rPr>
      </w:pPr>
    </w:p>
    <w:p w:rsidR="00DD2A06" w:rsidRDefault="00DD2A06" w:rsidP="00DD2A06">
      <w:pPr>
        <w:tabs>
          <w:tab w:val="left" w:pos="567"/>
          <w:tab w:val="left" w:pos="1134"/>
        </w:tabs>
        <w:spacing w:after="0"/>
        <w:rPr>
          <w:rFonts w:cs="Arial"/>
          <w:b/>
        </w:rPr>
      </w:pPr>
    </w:p>
    <w:p w:rsidR="00DD2A06" w:rsidRDefault="00DD2A06" w:rsidP="00DD2A06">
      <w:pPr>
        <w:tabs>
          <w:tab w:val="left" w:pos="567"/>
          <w:tab w:val="left" w:pos="1134"/>
        </w:tabs>
        <w:spacing w:after="0"/>
        <w:rPr>
          <w:rFonts w:cs="Arial"/>
          <w:b/>
        </w:rPr>
      </w:pPr>
    </w:p>
    <w:p w:rsidR="00DD2A06" w:rsidRDefault="00DD2A06" w:rsidP="00DD2A06">
      <w:pPr>
        <w:tabs>
          <w:tab w:val="left" w:pos="567"/>
          <w:tab w:val="left" w:pos="1134"/>
        </w:tabs>
        <w:spacing w:after="0"/>
        <w:rPr>
          <w:rFonts w:cs="Arial"/>
          <w:b/>
        </w:rPr>
      </w:pPr>
    </w:p>
    <w:p w:rsidR="00DD2A06" w:rsidRDefault="00DD2A06" w:rsidP="00DD2A06">
      <w:pPr>
        <w:tabs>
          <w:tab w:val="left" w:pos="567"/>
          <w:tab w:val="left" w:pos="1134"/>
        </w:tabs>
        <w:spacing w:after="0"/>
        <w:rPr>
          <w:rFonts w:cs="Arial"/>
          <w:b/>
        </w:rPr>
      </w:pPr>
    </w:p>
    <w:p w:rsidR="00DD2A06" w:rsidRDefault="00DD2A06" w:rsidP="00DD2A06">
      <w:pPr>
        <w:tabs>
          <w:tab w:val="left" w:pos="567"/>
          <w:tab w:val="left" w:pos="1134"/>
        </w:tabs>
        <w:spacing w:after="0"/>
        <w:rPr>
          <w:rFonts w:cs="Arial"/>
          <w:b/>
        </w:rPr>
      </w:pPr>
    </w:p>
    <w:p w:rsidR="00DD2A06" w:rsidRDefault="00DD2A06" w:rsidP="00DD2A06">
      <w:pPr>
        <w:tabs>
          <w:tab w:val="left" w:pos="567"/>
          <w:tab w:val="left" w:pos="1134"/>
        </w:tabs>
        <w:spacing w:after="0"/>
        <w:rPr>
          <w:rFonts w:cs="Arial"/>
          <w:b/>
        </w:rPr>
      </w:pPr>
    </w:p>
    <w:p w:rsidR="00DD2A06" w:rsidRDefault="00DD2A06" w:rsidP="00DD2A06">
      <w:pPr>
        <w:autoSpaceDE/>
        <w:autoSpaceDN/>
        <w:adjustRightInd/>
        <w:spacing w:after="0"/>
        <w:jc w:val="left"/>
        <w:rPr>
          <w:rFonts w:cs="Arial"/>
          <w:b/>
        </w:rPr>
      </w:pPr>
    </w:p>
    <w:p w:rsidR="00DD2A06" w:rsidRDefault="00DD2A06">
      <w:pPr>
        <w:autoSpaceDE/>
        <w:autoSpaceDN/>
        <w:adjustRightInd/>
        <w:spacing w:after="0"/>
        <w:jc w:val="left"/>
        <w:rPr>
          <w:rFonts w:cs="Arial"/>
          <w:b/>
        </w:rPr>
      </w:pPr>
      <w:r>
        <w:rPr>
          <w:rFonts w:cs="Arial"/>
          <w:b/>
        </w:rPr>
        <w:br w:type="page"/>
      </w:r>
    </w:p>
    <w:p w:rsidR="00DD2A06" w:rsidRDefault="00DD2A06" w:rsidP="00DD2A06">
      <w:pPr>
        <w:tabs>
          <w:tab w:val="left" w:pos="567"/>
          <w:tab w:val="left" w:pos="1134"/>
        </w:tabs>
        <w:spacing w:after="0"/>
        <w:ind w:left="360" w:hanging="360"/>
        <w:rPr>
          <w:rFonts w:cs="Arial"/>
          <w:b/>
        </w:rPr>
      </w:pPr>
      <w:r w:rsidRPr="00882976">
        <w:rPr>
          <w:rFonts w:cs="Arial"/>
          <w:b/>
        </w:rPr>
        <w:t xml:space="preserve">2. </w:t>
      </w:r>
      <w:r>
        <w:rPr>
          <w:rFonts w:cs="Arial"/>
          <w:b/>
        </w:rPr>
        <w:t>Funding</w:t>
      </w:r>
    </w:p>
    <w:p w:rsidR="00DD2A06" w:rsidRPr="00882976" w:rsidRDefault="00DD2A06" w:rsidP="00DD2A06">
      <w:pPr>
        <w:tabs>
          <w:tab w:val="left" w:pos="567"/>
          <w:tab w:val="left" w:pos="1134"/>
        </w:tabs>
        <w:spacing w:after="0"/>
        <w:ind w:left="360" w:hanging="360"/>
        <w:rPr>
          <w:rFonts w:cs="Arial"/>
          <w:b/>
        </w:rPr>
      </w:pPr>
    </w:p>
    <w:p w:rsidR="00DD2A06" w:rsidRDefault="00DD2A06" w:rsidP="00DD2A06">
      <w:pPr>
        <w:tabs>
          <w:tab w:val="left" w:pos="567"/>
          <w:tab w:val="left" w:pos="1134"/>
        </w:tabs>
        <w:spacing w:after="0"/>
        <w:rPr>
          <w:rFonts w:cs="Arial"/>
        </w:rPr>
      </w:pPr>
      <w:r w:rsidRPr="00882976">
        <w:rPr>
          <w:rFonts w:cs="Arial"/>
        </w:rPr>
        <w:t xml:space="preserve">The MTFS includes government funding </w:t>
      </w:r>
      <w:r>
        <w:rPr>
          <w:rFonts w:cs="Arial"/>
        </w:rPr>
        <w:t xml:space="preserve">as announced in the Final Settlement in February 2017. It is important to note that the proposed allocations issued from the Government only cover the period up to 2019/20 and assumptions have had to be made for 2020/21 – 2021/22. It is currently anticipated that a new system of Local Government finance will be in place in 2020/21 which involves Local Government retaining all of the business rates and a review of the funding formula. However, details of the scheme and the impact on Lancashire are not known at this time therefore the current business rates and grants structure has been forecast for future years. </w:t>
      </w:r>
    </w:p>
    <w:p w:rsidR="00DD2A06" w:rsidRDefault="00DD2A06" w:rsidP="00DD2A06">
      <w:pPr>
        <w:tabs>
          <w:tab w:val="left" w:pos="567"/>
          <w:tab w:val="left" w:pos="1134"/>
        </w:tabs>
        <w:spacing w:after="0"/>
        <w:rPr>
          <w:rFonts w:cs="Arial"/>
        </w:rPr>
      </w:pPr>
    </w:p>
    <w:p w:rsidR="00DD2A06" w:rsidRDefault="00DD2A06" w:rsidP="00DD2A06">
      <w:pPr>
        <w:tabs>
          <w:tab w:val="left" w:pos="567"/>
          <w:tab w:val="left" w:pos="1134"/>
        </w:tabs>
        <w:spacing w:after="0"/>
        <w:rPr>
          <w:rFonts w:cs="Arial"/>
        </w:rPr>
      </w:pPr>
      <w:r>
        <w:rPr>
          <w:rFonts w:cs="Arial"/>
        </w:rPr>
        <w:t xml:space="preserve">The Secretary of State offered Local Authorities the opportunity to apply for a four year financial settlement covering the Revenue Support Grant, Rural Services Delivery Grant and Transitional Grant. The County Council declined this offer as there was evidence to suggest that the proposed settlement did not provide sufficient funding to support the Council's statutory services. </w:t>
      </w:r>
    </w:p>
    <w:p w:rsidR="00DD2A06" w:rsidRPr="00882976" w:rsidRDefault="00DD2A06" w:rsidP="00DD2A06">
      <w:pPr>
        <w:tabs>
          <w:tab w:val="left" w:pos="567"/>
          <w:tab w:val="left" w:pos="1134"/>
        </w:tabs>
        <w:spacing w:after="0"/>
        <w:rPr>
          <w:rFonts w:cs="Arial"/>
        </w:rPr>
      </w:pPr>
    </w:p>
    <w:p w:rsidR="00DD2A06" w:rsidRDefault="00DD2A06" w:rsidP="00DD2A06">
      <w:pPr>
        <w:rPr>
          <w:rFonts w:cs="Arial"/>
        </w:rPr>
      </w:pPr>
      <w:r w:rsidRPr="00882976">
        <w:rPr>
          <w:rFonts w:cs="Arial"/>
        </w:rPr>
        <w:t xml:space="preserve">The MTFS approved by </w:t>
      </w:r>
      <w:r>
        <w:rPr>
          <w:rFonts w:cs="Arial"/>
        </w:rPr>
        <w:t xml:space="preserve">Cabinet in September 2017 </w:t>
      </w:r>
      <w:r w:rsidRPr="00882976">
        <w:rPr>
          <w:rFonts w:cs="Arial"/>
        </w:rPr>
        <w:t xml:space="preserve">included the following forecast </w:t>
      </w:r>
      <w:r>
        <w:rPr>
          <w:rFonts w:cs="Arial"/>
        </w:rPr>
        <w:t xml:space="preserve">level of </w:t>
      </w:r>
      <w:r w:rsidRPr="00882976">
        <w:rPr>
          <w:rFonts w:cs="Arial"/>
        </w:rPr>
        <w:t>resources:</w:t>
      </w:r>
    </w:p>
    <w:tbl>
      <w:tblPr>
        <w:tblStyle w:val="TableGrid"/>
        <w:tblW w:w="0" w:type="auto"/>
        <w:jc w:val="center"/>
        <w:tblLayout w:type="fixed"/>
        <w:tblLook w:val="04A0" w:firstRow="1" w:lastRow="0" w:firstColumn="1" w:lastColumn="0" w:noHBand="0" w:noVBand="1"/>
      </w:tblPr>
      <w:tblGrid>
        <w:gridCol w:w="3114"/>
        <w:gridCol w:w="1284"/>
        <w:gridCol w:w="1284"/>
        <w:gridCol w:w="1284"/>
        <w:gridCol w:w="1284"/>
      </w:tblGrid>
      <w:tr w:rsidR="00883109" w:rsidTr="00DD2A06">
        <w:trPr>
          <w:trHeight w:val="593"/>
          <w:jc w:val="center"/>
        </w:trPr>
        <w:tc>
          <w:tcPr>
            <w:tcW w:w="3114" w:type="dxa"/>
            <w:shd w:val="clear" w:color="auto" w:fill="BFBFBF" w:themeFill="background1" w:themeFillShade="BF"/>
            <w:vAlign w:val="center"/>
          </w:tcPr>
          <w:p w:rsidR="00DD2A06" w:rsidRPr="00882976" w:rsidRDefault="00DD2A06" w:rsidP="00DD2A06">
            <w:pPr>
              <w:pStyle w:val="NoSpacing"/>
              <w:jc w:val="both"/>
              <w:rPr>
                <w:rFonts w:cs="Arial"/>
                <w:szCs w:val="24"/>
              </w:rPr>
            </w:pPr>
          </w:p>
        </w:tc>
        <w:tc>
          <w:tcPr>
            <w:tcW w:w="1284" w:type="dxa"/>
            <w:shd w:val="clear" w:color="auto" w:fill="BFBFBF" w:themeFill="background1" w:themeFillShade="BF"/>
            <w:vAlign w:val="center"/>
          </w:tcPr>
          <w:p w:rsidR="00DD2A06" w:rsidRPr="00882976" w:rsidRDefault="00DD2A06" w:rsidP="00DD2A06">
            <w:pPr>
              <w:pStyle w:val="NoSpacing"/>
              <w:jc w:val="center"/>
              <w:rPr>
                <w:rFonts w:cs="Arial"/>
                <w:b/>
                <w:szCs w:val="24"/>
              </w:rPr>
            </w:pPr>
            <w:r w:rsidRPr="00882976">
              <w:rPr>
                <w:rFonts w:cs="Arial"/>
                <w:b/>
                <w:szCs w:val="24"/>
              </w:rPr>
              <w:t>2018/19</w:t>
            </w:r>
          </w:p>
          <w:p w:rsidR="00DD2A06" w:rsidRPr="00882976" w:rsidRDefault="00DD2A06" w:rsidP="00DD2A06">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rsidR="00DD2A06" w:rsidRPr="00882976" w:rsidRDefault="00DD2A06" w:rsidP="00DD2A06">
            <w:pPr>
              <w:pStyle w:val="NoSpacing"/>
              <w:jc w:val="center"/>
              <w:rPr>
                <w:rFonts w:cs="Arial"/>
                <w:b/>
                <w:szCs w:val="24"/>
              </w:rPr>
            </w:pPr>
            <w:r w:rsidRPr="00882976">
              <w:rPr>
                <w:rFonts w:cs="Arial"/>
                <w:b/>
                <w:szCs w:val="24"/>
              </w:rPr>
              <w:t>2019/20</w:t>
            </w:r>
          </w:p>
          <w:p w:rsidR="00DD2A06" w:rsidRPr="00882976" w:rsidRDefault="00DD2A06" w:rsidP="00DD2A06">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rsidR="00DD2A06" w:rsidRPr="00882976" w:rsidRDefault="00DD2A06" w:rsidP="00DD2A06">
            <w:pPr>
              <w:pStyle w:val="NoSpacing"/>
              <w:jc w:val="center"/>
              <w:rPr>
                <w:rFonts w:cs="Arial"/>
                <w:b/>
                <w:szCs w:val="24"/>
              </w:rPr>
            </w:pPr>
            <w:r w:rsidRPr="00882976">
              <w:rPr>
                <w:rFonts w:cs="Arial"/>
                <w:b/>
                <w:szCs w:val="24"/>
              </w:rPr>
              <w:t>2020/21</w:t>
            </w:r>
          </w:p>
          <w:p w:rsidR="00DD2A06" w:rsidRPr="00882976" w:rsidRDefault="00DD2A06" w:rsidP="00DD2A06">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tcPr>
          <w:p w:rsidR="00DD2A06" w:rsidRPr="00882976" w:rsidRDefault="00DD2A06" w:rsidP="00DD2A06">
            <w:pPr>
              <w:pStyle w:val="NoSpacing"/>
              <w:jc w:val="center"/>
              <w:rPr>
                <w:rFonts w:cs="Arial"/>
                <w:b/>
                <w:szCs w:val="24"/>
              </w:rPr>
            </w:pPr>
            <w:r>
              <w:rPr>
                <w:rFonts w:cs="Arial"/>
                <w:b/>
                <w:szCs w:val="24"/>
              </w:rPr>
              <w:t>2021/22 £m</w:t>
            </w:r>
          </w:p>
        </w:tc>
      </w:tr>
      <w:tr w:rsidR="00883109" w:rsidTr="00DD2A06">
        <w:trPr>
          <w:trHeight w:val="552"/>
          <w:jc w:val="center"/>
        </w:trPr>
        <w:tc>
          <w:tcPr>
            <w:tcW w:w="3114" w:type="dxa"/>
            <w:vAlign w:val="center"/>
          </w:tcPr>
          <w:p w:rsidR="00DD2A06" w:rsidRPr="00882976" w:rsidRDefault="00DD2A06" w:rsidP="00DD2A06">
            <w:pPr>
              <w:pStyle w:val="NoSpacing"/>
              <w:spacing w:line="276" w:lineRule="auto"/>
              <w:rPr>
                <w:rFonts w:cs="Arial"/>
                <w:szCs w:val="24"/>
              </w:rPr>
            </w:pPr>
            <w:r w:rsidRPr="00882976">
              <w:rPr>
                <w:rFonts w:cs="Arial"/>
                <w:szCs w:val="24"/>
              </w:rPr>
              <w:t>Revenue Support Grant</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56.979</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32.894</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0.000</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0.000</w:t>
            </w:r>
          </w:p>
        </w:tc>
      </w:tr>
      <w:tr w:rsidR="00883109" w:rsidTr="00DD2A06">
        <w:trPr>
          <w:trHeight w:val="552"/>
          <w:jc w:val="center"/>
        </w:trPr>
        <w:tc>
          <w:tcPr>
            <w:tcW w:w="3114" w:type="dxa"/>
            <w:vAlign w:val="center"/>
          </w:tcPr>
          <w:p w:rsidR="00DD2A06" w:rsidRPr="00882976" w:rsidRDefault="00DD2A06" w:rsidP="00DD2A06">
            <w:pPr>
              <w:pStyle w:val="NoSpacing"/>
              <w:spacing w:line="276" w:lineRule="auto"/>
              <w:rPr>
                <w:rFonts w:cs="Arial"/>
                <w:szCs w:val="24"/>
              </w:rPr>
            </w:pPr>
            <w:r w:rsidRPr="00882976">
              <w:rPr>
                <w:rFonts w:cs="Arial"/>
                <w:szCs w:val="24"/>
              </w:rPr>
              <w:t>Business Rates</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187.206</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193.788</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198.989</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204.431</w:t>
            </w:r>
          </w:p>
        </w:tc>
      </w:tr>
      <w:tr w:rsidR="00883109" w:rsidTr="00DD2A06">
        <w:trPr>
          <w:trHeight w:val="552"/>
          <w:jc w:val="center"/>
        </w:trPr>
        <w:tc>
          <w:tcPr>
            <w:tcW w:w="3114" w:type="dxa"/>
            <w:vAlign w:val="center"/>
          </w:tcPr>
          <w:p w:rsidR="00DD2A06" w:rsidRPr="00882976" w:rsidRDefault="00DD2A06" w:rsidP="00DD2A06">
            <w:pPr>
              <w:pStyle w:val="NoSpacing"/>
              <w:spacing w:line="276" w:lineRule="auto"/>
              <w:rPr>
                <w:rFonts w:cs="Arial"/>
                <w:szCs w:val="24"/>
              </w:rPr>
            </w:pPr>
            <w:r w:rsidRPr="00882976">
              <w:rPr>
                <w:rFonts w:cs="Arial"/>
                <w:szCs w:val="24"/>
              </w:rPr>
              <w:t>Council Tax</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458.371</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483.810</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500.839</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518.468</w:t>
            </w:r>
          </w:p>
        </w:tc>
      </w:tr>
      <w:tr w:rsidR="00883109" w:rsidTr="00DD2A06">
        <w:trPr>
          <w:trHeight w:val="552"/>
          <w:jc w:val="center"/>
        </w:trPr>
        <w:tc>
          <w:tcPr>
            <w:tcW w:w="3114" w:type="dxa"/>
            <w:vAlign w:val="center"/>
          </w:tcPr>
          <w:p w:rsidR="00DD2A06" w:rsidRPr="00882976" w:rsidRDefault="00DD2A06" w:rsidP="00DD2A06">
            <w:pPr>
              <w:pStyle w:val="NoSpacing"/>
              <w:spacing w:line="276" w:lineRule="auto"/>
              <w:rPr>
                <w:rFonts w:cs="Arial"/>
                <w:szCs w:val="24"/>
              </w:rPr>
            </w:pPr>
            <w:r w:rsidRPr="00882976">
              <w:rPr>
                <w:rFonts w:cs="Arial"/>
                <w:szCs w:val="24"/>
              </w:rPr>
              <w:t>New Homes Bonus</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3.727</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3.713</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3.207</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3.207</w:t>
            </w:r>
          </w:p>
        </w:tc>
      </w:tr>
      <w:tr w:rsidR="00883109" w:rsidTr="00DD2A06">
        <w:trPr>
          <w:trHeight w:val="552"/>
          <w:jc w:val="center"/>
        </w:trPr>
        <w:tc>
          <w:tcPr>
            <w:tcW w:w="3114" w:type="dxa"/>
            <w:vAlign w:val="center"/>
          </w:tcPr>
          <w:p w:rsidR="00DD2A06" w:rsidRPr="00882976" w:rsidRDefault="00DD2A06" w:rsidP="00DD2A06">
            <w:pPr>
              <w:pStyle w:val="NoSpacing"/>
              <w:spacing w:line="276" w:lineRule="auto"/>
              <w:rPr>
                <w:rFonts w:cs="Arial"/>
                <w:szCs w:val="24"/>
              </w:rPr>
            </w:pPr>
            <w:r w:rsidRPr="00882976">
              <w:rPr>
                <w:rFonts w:cs="Arial"/>
                <w:szCs w:val="24"/>
              </w:rPr>
              <w:t>Better Care Fund</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22.656</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40.014</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40.014</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40.014</w:t>
            </w:r>
          </w:p>
        </w:tc>
      </w:tr>
      <w:tr w:rsidR="00883109" w:rsidTr="00DD2A06">
        <w:trPr>
          <w:trHeight w:val="552"/>
          <w:jc w:val="center"/>
        </w:trPr>
        <w:tc>
          <w:tcPr>
            <w:tcW w:w="3114" w:type="dxa"/>
            <w:vAlign w:val="center"/>
          </w:tcPr>
          <w:p w:rsidR="00DD2A06" w:rsidRPr="00882976" w:rsidRDefault="00DD2A06" w:rsidP="00DD2A06">
            <w:pPr>
              <w:pStyle w:val="NoSpacing"/>
              <w:spacing w:line="276" w:lineRule="auto"/>
              <w:rPr>
                <w:rFonts w:cs="Arial"/>
                <w:szCs w:val="24"/>
              </w:rPr>
            </w:pPr>
            <w:r w:rsidRPr="00882976">
              <w:rPr>
                <w:rFonts w:cs="Arial"/>
                <w:szCs w:val="24"/>
              </w:rPr>
              <w:t>Capital receipts</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5.000</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0.000</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0.000</w:t>
            </w:r>
          </w:p>
        </w:tc>
        <w:tc>
          <w:tcPr>
            <w:tcW w:w="1284" w:type="dxa"/>
            <w:vAlign w:val="center"/>
          </w:tcPr>
          <w:p w:rsidR="00DD2A06" w:rsidRPr="000E6EB6" w:rsidRDefault="00DD2A06" w:rsidP="00DD2A06">
            <w:pPr>
              <w:pStyle w:val="NoSpacing"/>
              <w:spacing w:line="276" w:lineRule="auto"/>
              <w:jc w:val="right"/>
              <w:rPr>
                <w:rFonts w:cs="Arial"/>
                <w:szCs w:val="24"/>
              </w:rPr>
            </w:pPr>
            <w:r w:rsidRPr="000E6EB6">
              <w:rPr>
                <w:rFonts w:cs="Arial"/>
                <w:szCs w:val="24"/>
              </w:rPr>
              <w:t>0.000</w:t>
            </w:r>
          </w:p>
        </w:tc>
      </w:tr>
      <w:tr w:rsidR="00883109" w:rsidTr="00DD2A06">
        <w:trPr>
          <w:trHeight w:val="552"/>
          <w:jc w:val="center"/>
        </w:trPr>
        <w:tc>
          <w:tcPr>
            <w:tcW w:w="3114" w:type="dxa"/>
            <w:shd w:val="clear" w:color="auto" w:fill="BFBFBF" w:themeFill="background1" w:themeFillShade="BF"/>
            <w:vAlign w:val="center"/>
          </w:tcPr>
          <w:p w:rsidR="00DD2A06" w:rsidRPr="00EC1764" w:rsidRDefault="00DD2A06" w:rsidP="00DD2A06">
            <w:pPr>
              <w:pStyle w:val="NoSpacing"/>
              <w:spacing w:line="276" w:lineRule="auto"/>
              <w:jc w:val="both"/>
              <w:rPr>
                <w:rFonts w:cs="Arial"/>
                <w:b/>
                <w:szCs w:val="24"/>
              </w:rPr>
            </w:pPr>
            <w:r w:rsidRPr="00EC1764">
              <w:rPr>
                <w:rFonts w:cs="Arial"/>
                <w:b/>
                <w:szCs w:val="24"/>
              </w:rPr>
              <w:t>Total</w:t>
            </w:r>
          </w:p>
        </w:tc>
        <w:tc>
          <w:tcPr>
            <w:tcW w:w="1284" w:type="dxa"/>
            <w:shd w:val="clear" w:color="auto" w:fill="BFBFBF" w:themeFill="background1" w:themeFillShade="BF"/>
            <w:vAlign w:val="bottom"/>
          </w:tcPr>
          <w:p w:rsidR="00DD2A06" w:rsidRPr="000E6EB6" w:rsidRDefault="00DD2A06" w:rsidP="00DD2A06">
            <w:pPr>
              <w:spacing w:line="276" w:lineRule="auto"/>
              <w:jc w:val="right"/>
              <w:rPr>
                <w:rFonts w:cs="Arial"/>
                <w:b/>
                <w:lang w:eastAsia="en-GB"/>
              </w:rPr>
            </w:pPr>
            <w:r w:rsidRPr="000E6EB6">
              <w:rPr>
                <w:rFonts w:cs="Arial"/>
                <w:b/>
              </w:rPr>
              <w:t>733.939</w:t>
            </w:r>
          </w:p>
        </w:tc>
        <w:tc>
          <w:tcPr>
            <w:tcW w:w="1284" w:type="dxa"/>
            <w:shd w:val="clear" w:color="auto" w:fill="BFBFBF" w:themeFill="background1" w:themeFillShade="BF"/>
            <w:vAlign w:val="bottom"/>
          </w:tcPr>
          <w:p w:rsidR="00DD2A06" w:rsidRPr="000E6EB6" w:rsidRDefault="00DD2A06" w:rsidP="00DD2A06">
            <w:pPr>
              <w:spacing w:line="276" w:lineRule="auto"/>
              <w:jc w:val="right"/>
              <w:rPr>
                <w:rFonts w:cs="Arial"/>
                <w:b/>
                <w:lang w:eastAsia="en-GB"/>
              </w:rPr>
            </w:pPr>
            <w:r w:rsidRPr="000E6EB6">
              <w:rPr>
                <w:rFonts w:cs="Arial"/>
                <w:b/>
              </w:rPr>
              <w:t>754.219</w:t>
            </w:r>
          </w:p>
        </w:tc>
        <w:tc>
          <w:tcPr>
            <w:tcW w:w="1284" w:type="dxa"/>
            <w:shd w:val="clear" w:color="auto" w:fill="BFBFBF" w:themeFill="background1" w:themeFillShade="BF"/>
            <w:vAlign w:val="bottom"/>
          </w:tcPr>
          <w:p w:rsidR="00DD2A06" w:rsidRPr="000E6EB6" w:rsidRDefault="00DD2A06" w:rsidP="00DD2A06">
            <w:pPr>
              <w:spacing w:line="276" w:lineRule="auto"/>
              <w:jc w:val="right"/>
              <w:rPr>
                <w:rFonts w:cs="Arial"/>
                <w:b/>
                <w:lang w:eastAsia="en-GB"/>
              </w:rPr>
            </w:pPr>
            <w:r w:rsidRPr="000E6EB6">
              <w:rPr>
                <w:rFonts w:cs="Arial"/>
                <w:b/>
              </w:rPr>
              <w:t>743.049</w:t>
            </w:r>
          </w:p>
        </w:tc>
        <w:tc>
          <w:tcPr>
            <w:tcW w:w="1284" w:type="dxa"/>
            <w:shd w:val="clear" w:color="auto" w:fill="BFBFBF" w:themeFill="background1" w:themeFillShade="BF"/>
            <w:vAlign w:val="bottom"/>
          </w:tcPr>
          <w:p w:rsidR="00DD2A06" w:rsidRPr="000E6EB6" w:rsidRDefault="00DD2A06" w:rsidP="00DD2A06">
            <w:pPr>
              <w:spacing w:line="276" w:lineRule="auto"/>
              <w:jc w:val="right"/>
              <w:rPr>
                <w:rFonts w:cs="Arial"/>
                <w:b/>
                <w:lang w:eastAsia="en-GB"/>
              </w:rPr>
            </w:pPr>
            <w:r w:rsidRPr="000E6EB6">
              <w:rPr>
                <w:rFonts w:cs="Arial"/>
                <w:b/>
              </w:rPr>
              <w:t>766.120</w:t>
            </w:r>
          </w:p>
        </w:tc>
      </w:tr>
    </w:tbl>
    <w:p w:rsidR="00DD2A06" w:rsidRDefault="00DD2A06" w:rsidP="00DD2A06">
      <w:pPr>
        <w:rPr>
          <w:rFonts w:cs="Arial"/>
        </w:rPr>
      </w:pPr>
    </w:p>
    <w:p w:rsidR="00DD2A06" w:rsidRDefault="00DD2A06" w:rsidP="00DD2A06">
      <w:pPr>
        <w:spacing w:after="0"/>
        <w:rPr>
          <w:rFonts w:cs="Arial"/>
        </w:rPr>
      </w:pPr>
      <w:r w:rsidRPr="009226A6">
        <w:rPr>
          <w:rFonts w:cs="Arial"/>
        </w:rPr>
        <w:t>The figures above were based on a number of assumptions which have been re</w:t>
      </w:r>
      <w:r>
        <w:rPr>
          <w:rFonts w:cs="Arial"/>
        </w:rPr>
        <w:t xml:space="preserve">visited as part of this report and the latest information available has been included. </w:t>
      </w:r>
      <w:r w:rsidRPr="009226A6">
        <w:rPr>
          <w:rFonts w:cs="Arial"/>
        </w:rPr>
        <w:t xml:space="preserve">It is important to note that these figures show Council Tax </w:t>
      </w:r>
      <w:r>
        <w:rPr>
          <w:rFonts w:cs="Arial"/>
        </w:rPr>
        <w:t>increasing</w:t>
      </w:r>
      <w:r w:rsidRPr="009226A6">
        <w:rPr>
          <w:rFonts w:cs="Arial"/>
        </w:rPr>
        <w:t xml:space="preserve"> by 3.99% </w:t>
      </w:r>
      <w:r>
        <w:rPr>
          <w:rFonts w:cs="Arial"/>
        </w:rPr>
        <w:t>up to 2019/20 and 1.99% thereafter</w:t>
      </w:r>
      <w:r w:rsidRPr="009226A6">
        <w:rPr>
          <w:rFonts w:cs="Arial"/>
        </w:rPr>
        <w:t>, however this</w:t>
      </w:r>
      <w:r w:rsidR="00C82527">
        <w:rPr>
          <w:rFonts w:cs="Arial"/>
        </w:rPr>
        <w:t xml:space="preserve"> will be a decision made by Full Council </w:t>
      </w:r>
      <w:r w:rsidR="00C82527" w:rsidRPr="009226A6">
        <w:rPr>
          <w:rFonts w:cs="Arial"/>
        </w:rPr>
        <w:t>each</w:t>
      </w:r>
      <w:r w:rsidRPr="009226A6">
        <w:rPr>
          <w:rFonts w:cs="Arial"/>
        </w:rPr>
        <w:t xml:space="preserve"> year when setting the budget.  </w:t>
      </w:r>
    </w:p>
    <w:p w:rsidR="00DD2A06" w:rsidRDefault="00DD2A06" w:rsidP="00DD2A06">
      <w:pPr>
        <w:spacing w:after="0"/>
        <w:rPr>
          <w:rFonts w:cs="Arial"/>
        </w:rPr>
      </w:pPr>
    </w:p>
    <w:p w:rsidR="00DD2A06" w:rsidRDefault="00DD2A06" w:rsidP="00DD2A06">
      <w:pPr>
        <w:spacing w:after="0"/>
        <w:rPr>
          <w:rFonts w:cs="Arial"/>
        </w:rPr>
      </w:pPr>
    </w:p>
    <w:p w:rsidR="00DD2A06" w:rsidRDefault="00DD2A06" w:rsidP="00DD2A06">
      <w:pPr>
        <w:spacing w:after="0"/>
        <w:rPr>
          <w:rFonts w:cs="Arial"/>
        </w:rPr>
      </w:pPr>
    </w:p>
    <w:p w:rsidR="00DD2A06" w:rsidRDefault="00DD2A06" w:rsidP="00DD2A06">
      <w:pPr>
        <w:spacing w:after="0"/>
        <w:rPr>
          <w:rFonts w:cs="Arial"/>
        </w:rPr>
      </w:pPr>
    </w:p>
    <w:p w:rsidR="00DD2A06" w:rsidRDefault="00DD2A06" w:rsidP="00DD2A06">
      <w:pPr>
        <w:spacing w:after="0"/>
        <w:rPr>
          <w:rFonts w:cs="Arial"/>
        </w:rPr>
      </w:pPr>
    </w:p>
    <w:p w:rsidR="00DD2A06" w:rsidRDefault="00DD2A06" w:rsidP="00DD2A06">
      <w:pPr>
        <w:spacing w:after="0"/>
        <w:rPr>
          <w:rFonts w:cs="Arial"/>
        </w:rPr>
      </w:pPr>
    </w:p>
    <w:p w:rsidR="00DD2A06" w:rsidRDefault="00DD2A06" w:rsidP="00DD2A06">
      <w:pPr>
        <w:spacing w:after="0"/>
        <w:rPr>
          <w:rFonts w:cs="Arial"/>
        </w:rPr>
      </w:pPr>
    </w:p>
    <w:p w:rsidR="00DD2A06" w:rsidRDefault="00DD2A06" w:rsidP="00DD2A06">
      <w:pPr>
        <w:spacing w:after="0"/>
        <w:rPr>
          <w:rFonts w:cs="Arial"/>
        </w:rPr>
      </w:pPr>
    </w:p>
    <w:p w:rsidR="00DD2A06" w:rsidRDefault="00DD2A06" w:rsidP="00DD2A06">
      <w:pPr>
        <w:spacing w:after="0"/>
        <w:rPr>
          <w:rFonts w:cs="Arial"/>
        </w:rPr>
      </w:pPr>
      <w:r>
        <w:rPr>
          <w:rFonts w:cs="Arial"/>
        </w:rPr>
        <w:t>The revised resources position incorporating the details set out below is as follows:</w:t>
      </w:r>
    </w:p>
    <w:p w:rsidR="00DD2A06" w:rsidRDefault="00DD2A06" w:rsidP="00DD2A06">
      <w:pPr>
        <w:spacing w:after="0"/>
        <w:rPr>
          <w:rFonts w:cs="Arial"/>
        </w:rPr>
      </w:pPr>
    </w:p>
    <w:tbl>
      <w:tblPr>
        <w:tblStyle w:val="TableGrid"/>
        <w:tblW w:w="0" w:type="auto"/>
        <w:jc w:val="center"/>
        <w:tblLayout w:type="fixed"/>
        <w:tblLook w:val="04A0" w:firstRow="1" w:lastRow="0" w:firstColumn="1" w:lastColumn="0" w:noHBand="0" w:noVBand="1"/>
      </w:tblPr>
      <w:tblGrid>
        <w:gridCol w:w="3114"/>
        <w:gridCol w:w="1284"/>
        <w:gridCol w:w="1284"/>
        <w:gridCol w:w="1284"/>
        <w:gridCol w:w="1284"/>
      </w:tblGrid>
      <w:tr w:rsidR="00883109" w:rsidTr="00DD2A06">
        <w:trPr>
          <w:trHeight w:val="593"/>
          <w:jc w:val="center"/>
        </w:trPr>
        <w:tc>
          <w:tcPr>
            <w:tcW w:w="3114" w:type="dxa"/>
            <w:shd w:val="clear" w:color="auto" w:fill="BFBFBF" w:themeFill="background1" w:themeFillShade="BF"/>
            <w:vAlign w:val="center"/>
          </w:tcPr>
          <w:p w:rsidR="00DD2A06" w:rsidRPr="00882976" w:rsidRDefault="00DD2A06" w:rsidP="00DD2A06">
            <w:pPr>
              <w:pStyle w:val="NoSpacing"/>
              <w:jc w:val="both"/>
              <w:rPr>
                <w:rFonts w:cs="Arial"/>
                <w:szCs w:val="24"/>
              </w:rPr>
            </w:pPr>
          </w:p>
        </w:tc>
        <w:tc>
          <w:tcPr>
            <w:tcW w:w="1284" w:type="dxa"/>
            <w:shd w:val="clear" w:color="auto" w:fill="BFBFBF" w:themeFill="background1" w:themeFillShade="BF"/>
            <w:vAlign w:val="center"/>
          </w:tcPr>
          <w:p w:rsidR="00DD2A06" w:rsidRPr="00882976" w:rsidRDefault="00DD2A06" w:rsidP="00DD2A06">
            <w:pPr>
              <w:pStyle w:val="NoSpacing"/>
              <w:jc w:val="center"/>
              <w:rPr>
                <w:rFonts w:cs="Arial"/>
                <w:b/>
                <w:szCs w:val="24"/>
              </w:rPr>
            </w:pPr>
            <w:r w:rsidRPr="00882976">
              <w:rPr>
                <w:rFonts w:cs="Arial"/>
                <w:b/>
                <w:szCs w:val="24"/>
              </w:rPr>
              <w:t>2018/19</w:t>
            </w:r>
          </w:p>
          <w:p w:rsidR="00DD2A06" w:rsidRPr="00882976" w:rsidRDefault="00DD2A06" w:rsidP="00DD2A06">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rsidR="00DD2A06" w:rsidRPr="00882976" w:rsidRDefault="00DD2A06" w:rsidP="00DD2A06">
            <w:pPr>
              <w:pStyle w:val="NoSpacing"/>
              <w:jc w:val="center"/>
              <w:rPr>
                <w:rFonts w:cs="Arial"/>
                <w:b/>
                <w:szCs w:val="24"/>
              </w:rPr>
            </w:pPr>
            <w:r w:rsidRPr="00882976">
              <w:rPr>
                <w:rFonts w:cs="Arial"/>
                <w:b/>
                <w:szCs w:val="24"/>
              </w:rPr>
              <w:t>2019/20</w:t>
            </w:r>
          </w:p>
          <w:p w:rsidR="00DD2A06" w:rsidRPr="00882976" w:rsidRDefault="00DD2A06" w:rsidP="00DD2A06">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rsidR="00DD2A06" w:rsidRPr="00882976" w:rsidRDefault="00DD2A06" w:rsidP="00DD2A06">
            <w:pPr>
              <w:pStyle w:val="NoSpacing"/>
              <w:jc w:val="center"/>
              <w:rPr>
                <w:rFonts w:cs="Arial"/>
                <w:b/>
                <w:szCs w:val="24"/>
              </w:rPr>
            </w:pPr>
            <w:r w:rsidRPr="00882976">
              <w:rPr>
                <w:rFonts w:cs="Arial"/>
                <w:b/>
                <w:szCs w:val="24"/>
              </w:rPr>
              <w:t>2020/21</w:t>
            </w:r>
          </w:p>
          <w:p w:rsidR="00DD2A06" w:rsidRPr="00882976" w:rsidRDefault="00DD2A06" w:rsidP="00DD2A06">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tcPr>
          <w:p w:rsidR="00DD2A06" w:rsidRPr="00882976" w:rsidRDefault="00DD2A06" w:rsidP="00DD2A06">
            <w:pPr>
              <w:pStyle w:val="NoSpacing"/>
              <w:jc w:val="center"/>
              <w:rPr>
                <w:rFonts w:cs="Arial"/>
                <w:b/>
                <w:szCs w:val="24"/>
              </w:rPr>
            </w:pPr>
            <w:r>
              <w:rPr>
                <w:rFonts w:cs="Arial"/>
                <w:b/>
                <w:szCs w:val="24"/>
              </w:rPr>
              <w:t>2021/22 £m</w:t>
            </w:r>
          </w:p>
        </w:tc>
      </w:tr>
      <w:tr w:rsidR="00883109" w:rsidTr="00DD2A06">
        <w:trPr>
          <w:trHeight w:val="552"/>
          <w:jc w:val="center"/>
        </w:trPr>
        <w:tc>
          <w:tcPr>
            <w:tcW w:w="3114" w:type="dxa"/>
            <w:vAlign w:val="center"/>
          </w:tcPr>
          <w:p w:rsidR="00DD2A06" w:rsidRPr="00882976" w:rsidRDefault="00DD2A06" w:rsidP="00DD2A06">
            <w:pPr>
              <w:pStyle w:val="NoSpacing"/>
              <w:spacing w:line="276" w:lineRule="auto"/>
              <w:rPr>
                <w:rFonts w:cs="Arial"/>
                <w:szCs w:val="24"/>
              </w:rPr>
            </w:pPr>
            <w:r w:rsidRPr="00882976">
              <w:rPr>
                <w:rFonts w:cs="Arial"/>
                <w:szCs w:val="24"/>
              </w:rPr>
              <w:t>Revenue Support Grant</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56.979</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32.894</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0.000</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0.000</w:t>
            </w:r>
          </w:p>
        </w:tc>
      </w:tr>
      <w:tr w:rsidR="00883109" w:rsidTr="00DD2A06">
        <w:trPr>
          <w:trHeight w:val="552"/>
          <w:jc w:val="center"/>
        </w:trPr>
        <w:tc>
          <w:tcPr>
            <w:tcW w:w="3114" w:type="dxa"/>
            <w:vAlign w:val="center"/>
          </w:tcPr>
          <w:p w:rsidR="00DD2A06" w:rsidRPr="00882976" w:rsidRDefault="00DD2A06" w:rsidP="00DD2A06">
            <w:pPr>
              <w:pStyle w:val="NoSpacing"/>
              <w:spacing w:line="276" w:lineRule="auto"/>
              <w:rPr>
                <w:rFonts w:cs="Arial"/>
                <w:szCs w:val="24"/>
              </w:rPr>
            </w:pPr>
            <w:r w:rsidRPr="00882976">
              <w:rPr>
                <w:rFonts w:cs="Arial"/>
                <w:szCs w:val="24"/>
              </w:rPr>
              <w:t>Business Rates</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187.206</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193.788</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198.989</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204.431</w:t>
            </w:r>
          </w:p>
        </w:tc>
      </w:tr>
      <w:tr w:rsidR="00883109" w:rsidTr="00DD2A06">
        <w:trPr>
          <w:trHeight w:val="552"/>
          <w:jc w:val="center"/>
        </w:trPr>
        <w:tc>
          <w:tcPr>
            <w:tcW w:w="3114" w:type="dxa"/>
            <w:vAlign w:val="center"/>
          </w:tcPr>
          <w:p w:rsidR="00DD2A06" w:rsidRPr="00882976" w:rsidRDefault="00DD2A06" w:rsidP="00DD2A06">
            <w:pPr>
              <w:pStyle w:val="NoSpacing"/>
              <w:spacing w:line="276" w:lineRule="auto"/>
              <w:rPr>
                <w:rFonts w:cs="Arial"/>
                <w:szCs w:val="24"/>
              </w:rPr>
            </w:pPr>
            <w:r w:rsidRPr="00882976">
              <w:rPr>
                <w:rFonts w:cs="Arial"/>
                <w:szCs w:val="24"/>
              </w:rPr>
              <w:t>Council Tax</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458.371</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483.810</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500.839</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518.468</w:t>
            </w:r>
          </w:p>
        </w:tc>
      </w:tr>
      <w:tr w:rsidR="00883109" w:rsidTr="00DD2A06">
        <w:trPr>
          <w:trHeight w:val="552"/>
          <w:jc w:val="center"/>
        </w:trPr>
        <w:tc>
          <w:tcPr>
            <w:tcW w:w="3114" w:type="dxa"/>
            <w:vAlign w:val="center"/>
          </w:tcPr>
          <w:p w:rsidR="00DD2A06" w:rsidRPr="00882976" w:rsidRDefault="00DD2A06" w:rsidP="00DD2A06">
            <w:pPr>
              <w:pStyle w:val="NoSpacing"/>
              <w:spacing w:line="276" w:lineRule="auto"/>
              <w:rPr>
                <w:rFonts w:cs="Arial"/>
                <w:szCs w:val="24"/>
              </w:rPr>
            </w:pPr>
            <w:r w:rsidRPr="00882976">
              <w:rPr>
                <w:rFonts w:cs="Arial"/>
                <w:szCs w:val="24"/>
              </w:rPr>
              <w:t>New Homes Bonus</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3.727</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3.713</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3.207</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3.207</w:t>
            </w:r>
          </w:p>
        </w:tc>
      </w:tr>
      <w:tr w:rsidR="00883109" w:rsidTr="00DD2A06">
        <w:trPr>
          <w:trHeight w:val="552"/>
          <w:jc w:val="center"/>
        </w:trPr>
        <w:tc>
          <w:tcPr>
            <w:tcW w:w="3114" w:type="dxa"/>
            <w:vAlign w:val="center"/>
          </w:tcPr>
          <w:p w:rsidR="00DD2A06" w:rsidRPr="00882976" w:rsidRDefault="00DD2A06" w:rsidP="00DD2A06">
            <w:pPr>
              <w:pStyle w:val="NoSpacing"/>
              <w:spacing w:line="276" w:lineRule="auto"/>
              <w:rPr>
                <w:rFonts w:cs="Arial"/>
                <w:szCs w:val="24"/>
              </w:rPr>
            </w:pPr>
            <w:r w:rsidRPr="00882976">
              <w:rPr>
                <w:rFonts w:cs="Arial"/>
                <w:szCs w:val="24"/>
              </w:rPr>
              <w:t>Better Care Fund</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22.656</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40.014</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40.014</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40.014</w:t>
            </w:r>
          </w:p>
        </w:tc>
      </w:tr>
      <w:tr w:rsidR="00883109" w:rsidTr="00DD2A06">
        <w:trPr>
          <w:trHeight w:val="552"/>
          <w:jc w:val="center"/>
        </w:trPr>
        <w:tc>
          <w:tcPr>
            <w:tcW w:w="3114" w:type="dxa"/>
            <w:vAlign w:val="center"/>
          </w:tcPr>
          <w:p w:rsidR="00DD2A06" w:rsidRPr="00882976" w:rsidRDefault="00DD2A06" w:rsidP="00DD2A06">
            <w:pPr>
              <w:pStyle w:val="NoSpacing"/>
              <w:spacing w:line="276" w:lineRule="auto"/>
              <w:rPr>
                <w:rFonts w:cs="Arial"/>
                <w:szCs w:val="24"/>
              </w:rPr>
            </w:pPr>
            <w:r w:rsidRPr="00882976">
              <w:rPr>
                <w:rFonts w:cs="Arial"/>
                <w:szCs w:val="24"/>
              </w:rPr>
              <w:t>Capital receipts</w:t>
            </w:r>
          </w:p>
        </w:tc>
        <w:tc>
          <w:tcPr>
            <w:tcW w:w="1284" w:type="dxa"/>
            <w:vAlign w:val="center"/>
          </w:tcPr>
          <w:p w:rsidR="00DD2A06" w:rsidRPr="008F06AD" w:rsidRDefault="00DD2A06" w:rsidP="00DD2A06">
            <w:pPr>
              <w:pStyle w:val="NoSpacing"/>
              <w:spacing w:line="276" w:lineRule="auto"/>
              <w:jc w:val="right"/>
              <w:rPr>
                <w:rFonts w:cs="Arial"/>
                <w:szCs w:val="24"/>
              </w:rPr>
            </w:pPr>
            <w:r>
              <w:rPr>
                <w:rFonts w:cs="Arial"/>
                <w:szCs w:val="24"/>
              </w:rPr>
              <w:t>16.025</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0.000</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0.000</w:t>
            </w:r>
          </w:p>
        </w:tc>
        <w:tc>
          <w:tcPr>
            <w:tcW w:w="1284" w:type="dxa"/>
            <w:vAlign w:val="center"/>
          </w:tcPr>
          <w:p w:rsidR="00DD2A06" w:rsidRPr="008F06AD" w:rsidRDefault="00DD2A06" w:rsidP="00DD2A06">
            <w:pPr>
              <w:pStyle w:val="NoSpacing"/>
              <w:spacing w:line="276" w:lineRule="auto"/>
              <w:jc w:val="right"/>
              <w:rPr>
                <w:rFonts w:cs="Arial"/>
                <w:szCs w:val="24"/>
              </w:rPr>
            </w:pPr>
            <w:r w:rsidRPr="008F06AD">
              <w:rPr>
                <w:rFonts w:cs="Arial"/>
                <w:szCs w:val="24"/>
              </w:rPr>
              <w:t>0.000</w:t>
            </w:r>
          </w:p>
        </w:tc>
      </w:tr>
      <w:tr w:rsidR="00883109" w:rsidTr="00DD2A06">
        <w:trPr>
          <w:trHeight w:val="552"/>
          <w:jc w:val="center"/>
        </w:trPr>
        <w:tc>
          <w:tcPr>
            <w:tcW w:w="3114" w:type="dxa"/>
            <w:shd w:val="clear" w:color="auto" w:fill="BFBFBF" w:themeFill="background1" w:themeFillShade="BF"/>
            <w:vAlign w:val="center"/>
          </w:tcPr>
          <w:p w:rsidR="00DD2A06" w:rsidRPr="00EC1764" w:rsidRDefault="00DD2A06" w:rsidP="00DD2A06">
            <w:pPr>
              <w:pStyle w:val="NoSpacing"/>
              <w:spacing w:line="276" w:lineRule="auto"/>
              <w:jc w:val="both"/>
              <w:rPr>
                <w:rFonts w:cs="Arial"/>
                <w:b/>
                <w:szCs w:val="24"/>
              </w:rPr>
            </w:pPr>
            <w:r w:rsidRPr="00EC1764">
              <w:rPr>
                <w:rFonts w:cs="Arial"/>
                <w:b/>
                <w:szCs w:val="24"/>
              </w:rPr>
              <w:t>Total</w:t>
            </w:r>
          </w:p>
        </w:tc>
        <w:tc>
          <w:tcPr>
            <w:tcW w:w="1284" w:type="dxa"/>
            <w:shd w:val="clear" w:color="auto" w:fill="BFBFBF" w:themeFill="background1" w:themeFillShade="BF"/>
            <w:vAlign w:val="bottom"/>
          </w:tcPr>
          <w:p w:rsidR="00DD2A06" w:rsidRPr="008F06AD" w:rsidRDefault="00DD2A06" w:rsidP="00DD2A06">
            <w:pPr>
              <w:spacing w:line="276" w:lineRule="auto"/>
              <w:jc w:val="right"/>
              <w:rPr>
                <w:rFonts w:cs="Arial"/>
                <w:b/>
                <w:lang w:eastAsia="en-GB"/>
              </w:rPr>
            </w:pPr>
            <w:r>
              <w:rPr>
                <w:rFonts w:cs="Arial"/>
                <w:b/>
              </w:rPr>
              <w:t>744.964</w:t>
            </w:r>
          </w:p>
        </w:tc>
        <w:tc>
          <w:tcPr>
            <w:tcW w:w="1284" w:type="dxa"/>
            <w:shd w:val="clear" w:color="auto" w:fill="BFBFBF" w:themeFill="background1" w:themeFillShade="BF"/>
            <w:vAlign w:val="bottom"/>
          </w:tcPr>
          <w:p w:rsidR="00DD2A06" w:rsidRPr="008F06AD" w:rsidRDefault="00DD2A06" w:rsidP="00DD2A06">
            <w:pPr>
              <w:spacing w:line="276" w:lineRule="auto"/>
              <w:jc w:val="right"/>
              <w:rPr>
                <w:rFonts w:cs="Arial"/>
                <w:b/>
                <w:lang w:eastAsia="en-GB"/>
              </w:rPr>
            </w:pPr>
            <w:r w:rsidRPr="008F06AD">
              <w:rPr>
                <w:rFonts w:cs="Arial"/>
                <w:b/>
              </w:rPr>
              <w:t>754.219</w:t>
            </w:r>
          </w:p>
        </w:tc>
        <w:tc>
          <w:tcPr>
            <w:tcW w:w="1284" w:type="dxa"/>
            <w:shd w:val="clear" w:color="auto" w:fill="BFBFBF" w:themeFill="background1" w:themeFillShade="BF"/>
            <w:vAlign w:val="bottom"/>
          </w:tcPr>
          <w:p w:rsidR="00DD2A06" w:rsidRPr="008F06AD" w:rsidRDefault="00DD2A06" w:rsidP="00DD2A06">
            <w:pPr>
              <w:spacing w:line="276" w:lineRule="auto"/>
              <w:jc w:val="right"/>
              <w:rPr>
                <w:rFonts w:cs="Arial"/>
                <w:b/>
                <w:lang w:eastAsia="en-GB"/>
              </w:rPr>
            </w:pPr>
            <w:r w:rsidRPr="008F06AD">
              <w:rPr>
                <w:rFonts w:cs="Arial"/>
                <w:b/>
              </w:rPr>
              <w:t>743.049</w:t>
            </w:r>
          </w:p>
        </w:tc>
        <w:tc>
          <w:tcPr>
            <w:tcW w:w="1284" w:type="dxa"/>
            <w:shd w:val="clear" w:color="auto" w:fill="BFBFBF" w:themeFill="background1" w:themeFillShade="BF"/>
            <w:vAlign w:val="bottom"/>
          </w:tcPr>
          <w:p w:rsidR="00DD2A06" w:rsidRPr="008F06AD" w:rsidRDefault="00DD2A06" w:rsidP="00DD2A06">
            <w:pPr>
              <w:spacing w:line="276" w:lineRule="auto"/>
              <w:jc w:val="right"/>
              <w:rPr>
                <w:rFonts w:cs="Arial"/>
                <w:b/>
                <w:lang w:eastAsia="en-GB"/>
              </w:rPr>
            </w:pPr>
            <w:r w:rsidRPr="008F06AD">
              <w:rPr>
                <w:rFonts w:cs="Arial"/>
                <w:b/>
              </w:rPr>
              <w:t>766.120</w:t>
            </w:r>
          </w:p>
        </w:tc>
      </w:tr>
    </w:tbl>
    <w:p w:rsidR="00DD2A06" w:rsidRDefault="00DD2A06" w:rsidP="00DD2A06">
      <w:pPr>
        <w:spacing w:after="0"/>
        <w:rPr>
          <w:rFonts w:cs="Arial"/>
        </w:rPr>
      </w:pPr>
    </w:p>
    <w:p w:rsidR="00DD2A06" w:rsidRPr="00882976" w:rsidRDefault="00DD2A06" w:rsidP="00DD2A06">
      <w:pPr>
        <w:spacing w:after="0"/>
        <w:rPr>
          <w:rFonts w:cs="Arial"/>
          <w:b/>
        </w:rPr>
      </w:pPr>
      <w:r w:rsidRPr="00882976">
        <w:rPr>
          <w:rFonts w:cs="Arial"/>
          <w:b/>
        </w:rPr>
        <w:t>2.</w:t>
      </w:r>
      <w:r>
        <w:rPr>
          <w:rFonts w:cs="Arial"/>
          <w:b/>
        </w:rPr>
        <w:t>1</w:t>
      </w:r>
      <w:r w:rsidRPr="00882976">
        <w:rPr>
          <w:rFonts w:cs="Arial"/>
          <w:b/>
        </w:rPr>
        <w:t xml:space="preserve"> Settlement Funding Assessment (SFA)</w:t>
      </w:r>
    </w:p>
    <w:p w:rsidR="00DD2A06" w:rsidRDefault="00DD2A06" w:rsidP="00DD2A06">
      <w:pPr>
        <w:spacing w:after="0"/>
        <w:rPr>
          <w:rFonts w:cs="Arial"/>
        </w:rPr>
      </w:pPr>
    </w:p>
    <w:p w:rsidR="00DD2A06" w:rsidRPr="00882976" w:rsidRDefault="00DD2A06" w:rsidP="00DD2A06">
      <w:pPr>
        <w:spacing w:after="0"/>
        <w:rPr>
          <w:rFonts w:cs="Arial"/>
        </w:rPr>
      </w:pPr>
      <w:r w:rsidRPr="00882976">
        <w:rPr>
          <w:rFonts w:cs="Arial"/>
        </w:rPr>
        <w:t>The Settlement Funding Assessment (SFA) is an indication of the level of resources required by an authority which is to be met from business rates and R</w:t>
      </w:r>
      <w:r>
        <w:rPr>
          <w:rFonts w:cs="Arial"/>
        </w:rPr>
        <w:t xml:space="preserve">evenue </w:t>
      </w:r>
      <w:r w:rsidRPr="00882976">
        <w:rPr>
          <w:rFonts w:cs="Arial"/>
        </w:rPr>
        <w:t>S</w:t>
      </w:r>
      <w:r>
        <w:rPr>
          <w:rFonts w:cs="Arial"/>
        </w:rPr>
        <w:t xml:space="preserve">upport </w:t>
      </w:r>
      <w:r w:rsidRPr="00882976">
        <w:rPr>
          <w:rFonts w:cs="Arial"/>
        </w:rPr>
        <w:t>G</w:t>
      </w:r>
      <w:r>
        <w:rPr>
          <w:rFonts w:cs="Arial"/>
        </w:rPr>
        <w:t>rant (RSG)</w:t>
      </w:r>
      <w:r w:rsidRPr="00882976">
        <w:rPr>
          <w:rFonts w:cs="Arial"/>
        </w:rPr>
        <w:t xml:space="preserve">. </w:t>
      </w:r>
      <w:r>
        <w:rPr>
          <w:rFonts w:cs="Arial"/>
        </w:rPr>
        <w:t>On 20</w:t>
      </w:r>
      <w:r w:rsidRPr="00465F19">
        <w:rPr>
          <w:rFonts w:cs="Arial"/>
          <w:vertAlign w:val="superscript"/>
        </w:rPr>
        <w:t>th</w:t>
      </w:r>
      <w:r>
        <w:rPr>
          <w:rFonts w:cs="Arial"/>
        </w:rPr>
        <w:t xml:space="preserve"> February 2017</w:t>
      </w:r>
      <w:r w:rsidRPr="00882976">
        <w:rPr>
          <w:rFonts w:cs="Arial"/>
        </w:rPr>
        <w:t xml:space="preserve"> the Secretary of State announced details of proposed support for the next 3 years, i.e. up to 2019/20 and the MTFS has been based on this Settlement. </w:t>
      </w:r>
      <w:r>
        <w:rPr>
          <w:rFonts w:cs="Arial"/>
        </w:rPr>
        <w:t xml:space="preserve">Assumptions have been made that the funding follows a similar pattern in 2020/21. In the MTFS an assumption has been made that there will not be a Revenue Support Grant from 2020/21 as a result of the latest information available following the final financial settlement in February 2017. </w:t>
      </w:r>
    </w:p>
    <w:p w:rsidR="00DD2A06" w:rsidRPr="00882976" w:rsidRDefault="00DD2A06" w:rsidP="00DD2A06">
      <w:pPr>
        <w:rPr>
          <w:rFonts w:cs="Arial"/>
        </w:rPr>
      </w:pPr>
    </w:p>
    <w:tbl>
      <w:tblPr>
        <w:tblStyle w:val="TableGrid"/>
        <w:tblW w:w="6812" w:type="dxa"/>
        <w:jc w:val="center"/>
        <w:tblLook w:val="04A0" w:firstRow="1" w:lastRow="0" w:firstColumn="1" w:lastColumn="0" w:noHBand="0" w:noVBand="1"/>
      </w:tblPr>
      <w:tblGrid>
        <w:gridCol w:w="2368"/>
        <w:gridCol w:w="1120"/>
        <w:gridCol w:w="1120"/>
        <w:gridCol w:w="1120"/>
        <w:gridCol w:w="1084"/>
      </w:tblGrid>
      <w:tr w:rsidR="00883109" w:rsidTr="00DD2A06">
        <w:trPr>
          <w:trHeight w:val="646"/>
          <w:jc w:val="center"/>
        </w:trPr>
        <w:tc>
          <w:tcPr>
            <w:tcW w:w="2368" w:type="dxa"/>
            <w:tcBorders>
              <w:bottom w:val="nil"/>
            </w:tcBorders>
            <w:shd w:val="clear" w:color="auto" w:fill="D9D9D9" w:themeFill="background1" w:themeFillShade="D9"/>
            <w:vAlign w:val="center"/>
          </w:tcPr>
          <w:p w:rsidR="00DD2A06" w:rsidRPr="00882976" w:rsidRDefault="00DD2A06" w:rsidP="00DD2A06">
            <w:pPr>
              <w:spacing w:after="0"/>
              <w:jc w:val="center"/>
              <w:rPr>
                <w:rFonts w:cs="Arial"/>
                <w:b/>
              </w:rPr>
            </w:pPr>
          </w:p>
          <w:p w:rsidR="00DD2A06" w:rsidRPr="00882976" w:rsidRDefault="00DD2A06" w:rsidP="00DD2A06">
            <w:pPr>
              <w:spacing w:after="0"/>
              <w:jc w:val="center"/>
              <w:rPr>
                <w:rFonts w:cs="Arial"/>
                <w:b/>
              </w:rPr>
            </w:pPr>
          </w:p>
        </w:tc>
        <w:tc>
          <w:tcPr>
            <w:tcW w:w="1120" w:type="dxa"/>
            <w:tcBorders>
              <w:bottom w:val="nil"/>
            </w:tcBorders>
            <w:shd w:val="clear" w:color="auto" w:fill="D9D9D9" w:themeFill="background1" w:themeFillShade="D9"/>
            <w:vAlign w:val="center"/>
          </w:tcPr>
          <w:p w:rsidR="00DD2A06" w:rsidRPr="00152274" w:rsidRDefault="00DD2A06" w:rsidP="00DD2A06">
            <w:pPr>
              <w:spacing w:after="0"/>
              <w:jc w:val="center"/>
              <w:rPr>
                <w:rFonts w:cs="Arial"/>
                <w:b/>
              </w:rPr>
            </w:pPr>
            <w:r w:rsidRPr="00152274">
              <w:rPr>
                <w:rFonts w:cs="Arial"/>
                <w:b/>
              </w:rPr>
              <w:t>2018/19</w:t>
            </w:r>
          </w:p>
          <w:p w:rsidR="00DD2A06" w:rsidRPr="00152274" w:rsidRDefault="00DD2A06" w:rsidP="00DD2A06">
            <w:pPr>
              <w:spacing w:after="0"/>
              <w:jc w:val="center"/>
              <w:rPr>
                <w:rFonts w:cs="Arial"/>
                <w:b/>
              </w:rPr>
            </w:pPr>
            <w:r w:rsidRPr="00152274">
              <w:rPr>
                <w:rFonts w:cs="Arial"/>
                <w:b/>
              </w:rPr>
              <w:t>£m</w:t>
            </w:r>
          </w:p>
        </w:tc>
        <w:tc>
          <w:tcPr>
            <w:tcW w:w="1120" w:type="dxa"/>
            <w:tcBorders>
              <w:bottom w:val="nil"/>
            </w:tcBorders>
            <w:shd w:val="clear" w:color="auto" w:fill="D9D9D9" w:themeFill="background1" w:themeFillShade="D9"/>
            <w:vAlign w:val="center"/>
          </w:tcPr>
          <w:p w:rsidR="00DD2A06" w:rsidRPr="00152274" w:rsidRDefault="00DD2A06" w:rsidP="00DD2A06">
            <w:pPr>
              <w:spacing w:after="0"/>
              <w:jc w:val="center"/>
              <w:rPr>
                <w:rFonts w:cs="Arial"/>
                <w:b/>
              </w:rPr>
            </w:pPr>
            <w:r w:rsidRPr="00152274">
              <w:rPr>
                <w:rFonts w:cs="Arial"/>
                <w:b/>
              </w:rPr>
              <w:t>2019/20</w:t>
            </w:r>
          </w:p>
          <w:p w:rsidR="00DD2A06" w:rsidRPr="00152274" w:rsidRDefault="00DD2A06" w:rsidP="00DD2A06">
            <w:pPr>
              <w:spacing w:after="0"/>
              <w:jc w:val="center"/>
              <w:rPr>
                <w:rFonts w:cs="Arial"/>
                <w:b/>
              </w:rPr>
            </w:pPr>
            <w:r w:rsidRPr="00152274">
              <w:rPr>
                <w:rFonts w:cs="Arial"/>
                <w:b/>
              </w:rPr>
              <w:t>£m</w:t>
            </w:r>
          </w:p>
        </w:tc>
        <w:tc>
          <w:tcPr>
            <w:tcW w:w="1120" w:type="dxa"/>
            <w:tcBorders>
              <w:bottom w:val="nil"/>
            </w:tcBorders>
            <w:shd w:val="clear" w:color="auto" w:fill="D9D9D9" w:themeFill="background1" w:themeFillShade="D9"/>
            <w:vAlign w:val="center"/>
          </w:tcPr>
          <w:p w:rsidR="00DD2A06" w:rsidRPr="00152274" w:rsidRDefault="00DD2A06" w:rsidP="00DD2A06">
            <w:pPr>
              <w:pStyle w:val="NoSpacing"/>
              <w:jc w:val="center"/>
              <w:rPr>
                <w:b/>
              </w:rPr>
            </w:pPr>
            <w:r w:rsidRPr="00152274">
              <w:rPr>
                <w:b/>
              </w:rPr>
              <w:t>2020/21</w:t>
            </w:r>
          </w:p>
          <w:p w:rsidR="00DD2A06" w:rsidRPr="00152274" w:rsidRDefault="00DD2A06" w:rsidP="00DD2A06">
            <w:pPr>
              <w:spacing w:after="0"/>
              <w:jc w:val="center"/>
              <w:rPr>
                <w:rFonts w:cs="Arial"/>
                <w:b/>
              </w:rPr>
            </w:pPr>
            <w:r w:rsidRPr="00152274">
              <w:rPr>
                <w:rFonts w:cs="Arial"/>
                <w:b/>
              </w:rPr>
              <w:t>£m</w:t>
            </w:r>
          </w:p>
        </w:tc>
        <w:tc>
          <w:tcPr>
            <w:tcW w:w="1084" w:type="dxa"/>
            <w:tcBorders>
              <w:bottom w:val="nil"/>
            </w:tcBorders>
            <w:shd w:val="clear" w:color="auto" w:fill="D9D9D9" w:themeFill="background1" w:themeFillShade="D9"/>
            <w:vAlign w:val="center"/>
          </w:tcPr>
          <w:p w:rsidR="00DD2A06" w:rsidRPr="00152274" w:rsidRDefault="00DD2A06" w:rsidP="00DD2A06">
            <w:pPr>
              <w:pStyle w:val="NoSpacing"/>
              <w:jc w:val="center"/>
              <w:rPr>
                <w:b/>
              </w:rPr>
            </w:pPr>
            <w:r w:rsidRPr="00152274">
              <w:rPr>
                <w:b/>
              </w:rPr>
              <w:t>2021/22</w:t>
            </w:r>
          </w:p>
          <w:p w:rsidR="00DD2A06" w:rsidRPr="00152274" w:rsidRDefault="00DD2A06" w:rsidP="00DD2A06">
            <w:pPr>
              <w:pStyle w:val="NoSpacing"/>
              <w:jc w:val="center"/>
              <w:rPr>
                <w:b/>
                <w:i/>
                <w:szCs w:val="24"/>
              </w:rPr>
            </w:pPr>
            <w:r w:rsidRPr="00152274">
              <w:rPr>
                <w:b/>
              </w:rPr>
              <w:t>£m</w:t>
            </w:r>
          </w:p>
        </w:tc>
      </w:tr>
      <w:tr w:rsidR="00883109" w:rsidTr="00DD2A06">
        <w:trPr>
          <w:trHeight w:val="672"/>
          <w:jc w:val="center"/>
        </w:trPr>
        <w:tc>
          <w:tcPr>
            <w:tcW w:w="2368" w:type="dxa"/>
            <w:shd w:val="clear" w:color="auto" w:fill="D9D9D9" w:themeFill="background1" w:themeFillShade="D9"/>
            <w:vAlign w:val="center"/>
          </w:tcPr>
          <w:p w:rsidR="00DD2A06" w:rsidRPr="00152274" w:rsidRDefault="00DD2A06" w:rsidP="00DD2A06">
            <w:pPr>
              <w:spacing w:after="0"/>
              <w:rPr>
                <w:rFonts w:cs="Arial"/>
                <w:b/>
              </w:rPr>
            </w:pPr>
            <w:r w:rsidRPr="00152274">
              <w:rPr>
                <w:rFonts w:cs="Arial"/>
                <w:b/>
              </w:rPr>
              <w:t>SFA Funded by:</w:t>
            </w:r>
          </w:p>
        </w:tc>
        <w:tc>
          <w:tcPr>
            <w:tcW w:w="1120" w:type="dxa"/>
            <w:shd w:val="clear" w:color="auto" w:fill="D9D9D9" w:themeFill="background1" w:themeFillShade="D9"/>
            <w:vAlign w:val="center"/>
          </w:tcPr>
          <w:p w:rsidR="00DD2A06" w:rsidRPr="00152274" w:rsidRDefault="00DD2A06" w:rsidP="00DD2A06">
            <w:pPr>
              <w:spacing w:after="0"/>
              <w:jc w:val="right"/>
              <w:rPr>
                <w:rFonts w:cs="Arial"/>
              </w:rPr>
            </w:pPr>
          </w:p>
        </w:tc>
        <w:tc>
          <w:tcPr>
            <w:tcW w:w="1120" w:type="dxa"/>
            <w:shd w:val="clear" w:color="auto" w:fill="D9D9D9" w:themeFill="background1" w:themeFillShade="D9"/>
            <w:vAlign w:val="center"/>
          </w:tcPr>
          <w:p w:rsidR="00DD2A06" w:rsidRPr="00152274" w:rsidRDefault="00DD2A06" w:rsidP="00DD2A06">
            <w:pPr>
              <w:spacing w:after="0"/>
              <w:jc w:val="right"/>
              <w:rPr>
                <w:rFonts w:cs="Arial"/>
              </w:rPr>
            </w:pPr>
          </w:p>
        </w:tc>
        <w:tc>
          <w:tcPr>
            <w:tcW w:w="1120" w:type="dxa"/>
            <w:shd w:val="clear" w:color="auto" w:fill="D9D9D9" w:themeFill="background1" w:themeFillShade="D9"/>
            <w:vAlign w:val="center"/>
          </w:tcPr>
          <w:p w:rsidR="00DD2A06" w:rsidRPr="00152274" w:rsidRDefault="00DD2A06" w:rsidP="00DD2A06">
            <w:pPr>
              <w:spacing w:after="0"/>
              <w:jc w:val="right"/>
              <w:rPr>
                <w:rFonts w:cs="Arial"/>
              </w:rPr>
            </w:pPr>
          </w:p>
        </w:tc>
        <w:tc>
          <w:tcPr>
            <w:tcW w:w="1084" w:type="dxa"/>
            <w:shd w:val="clear" w:color="auto" w:fill="D9D9D9" w:themeFill="background1" w:themeFillShade="D9"/>
            <w:vAlign w:val="center"/>
          </w:tcPr>
          <w:p w:rsidR="00DD2A06" w:rsidRPr="00152274" w:rsidRDefault="00DD2A06" w:rsidP="00DD2A06">
            <w:pPr>
              <w:spacing w:after="0"/>
              <w:jc w:val="right"/>
              <w:rPr>
                <w:rFonts w:cs="Arial"/>
              </w:rPr>
            </w:pPr>
          </w:p>
        </w:tc>
      </w:tr>
      <w:tr w:rsidR="00883109" w:rsidTr="00DD2A06">
        <w:trPr>
          <w:trHeight w:val="672"/>
          <w:jc w:val="center"/>
        </w:trPr>
        <w:tc>
          <w:tcPr>
            <w:tcW w:w="2368" w:type="dxa"/>
            <w:vAlign w:val="center"/>
          </w:tcPr>
          <w:p w:rsidR="00DD2A06" w:rsidRPr="00152274" w:rsidRDefault="00DD2A06" w:rsidP="00DD2A06">
            <w:pPr>
              <w:spacing w:after="0"/>
              <w:jc w:val="left"/>
              <w:rPr>
                <w:rFonts w:cs="Arial"/>
              </w:rPr>
            </w:pPr>
            <w:r w:rsidRPr="00152274">
              <w:rPr>
                <w:rFonts w:cs="Arial"/>
              </w:rPr>
              <w:t>Revenue Support Grant</w:t>
            </w:r>
          </w:p>
        </w:tc>
        <w:tc>
          <w:tcPr>
            <w:tcW w:w="1120" w:type="dxa"/>
            <w:vAlign w:val="center"/>
          </w:tcPr>
          <w:p w:rsidR="00DD2A06" w:rsidRPr="00152274" w:rsidRDefault="00DD2A06" w:rsidP="00DD2A06">
            <w:pPr>
              <w:spacing w:after="0"/>
              <w:jc w:val="right"/>
              <w:rPr>
                <w:rFonts w:cs="Arial"/>
              </w:rPr>
            </w:pPr>
            <w:r w:rsidRPr="00152274">
              <w:rPr>
                <w:rFonts w:cs="Arial"/>
              </w:rPr>
              <w:t>56.979</w:t>
            </w:r>
          </w:p>
        </w:tc>
        <w:tc>
          <w:tcPr>
            <w:tcW w:w="1120" w:type="dxa"/>
            <w:vAlign w:val="center"/>
          </w:tcPr>
          <w:p w:rsidR="00DD2A06" w:rsidRPr="00152274" w:rsidRDefault="00DD2A06" w:rsidP="00DD2A06">
            <w:pPr>
              <w:spacing w:after="0"/>
              <w:jc w:val="right"/>
              <w:rPr>
                <w:rFonts w:cs="Arial"/>
              </w:rPr>
            </w:pPr>
            <w:r w:rsidRPr="00152274">
              <w:rPr>
                <w:rFonts w:cs="Arial"/>
              </w:rPr>
              <w:t>32.894</w:t>
            </w:r>
          </w:p>
        </w:tc>
        <w:tc>
          <w:tcPr>
            <w:tcW w:w="1120" w:type="dxa"/>
            <w:vAlign w:val="center"/>
          </w:tcPr>
          <w:p w:rsidR="00DD2A06" w:rsidRPr="00152274" w:rsidRDefault="00DD2A06" w:rsidP="00DD2A06">
            <w:pPr>
              <w:spacing w:after="0"/>
              <w:jc w:val="right"/>
              <w:rPr>
                <w:rFonts w:cs="Arial"/>
              </w:rPr>
            </w:pPr>
            <w:r w:rsidRPr="00152274">
              <w:rPr>
                <w:rFonts w:cs="Arial"/>
              </w:rPr>
              <w:t>0.000</w:t>
            </w:r>
          </w:p>
        </w:tc>
        <w:tc>
          <w:tcPr>
            <w:tcW w:w="1084" w:type="dxa"/>
            <w:vAlign w:val="center"/>
          </w:tcPr>
          <w:p w:rsidR="00DD2A06" w:rsidRPr="00152274" w:rsidRDefault="00DD2A06" w:rsidP="00DD2A06">
            <w:pPr>
              <w:spacing w:after="0"/>
              <w:jc w:val="right"/>
              <w:rPr>
                <w:rFonts w:cs="Arial"/>
              </w:rPr>
            </w:pPr>
            <w:r w:rsidRPr="00152274">
              <w:rPr>
                <w:rFonts w:cs="Arial"/>
              </w:rPr>
              <w:t>0.000</w:t>
            </w:r>
          </w:p>
        </w:tc>
      </w:tr>
      <w:tr w:rsidR="00883109" w:rsidTr="00DD2A06">
        <w:trPr>
          <w:trHeight w:val="672"/>
          <w:jc w:val="center"/>
        </w:trPr>
        <w:tc>
          <w:tcPr>
            <w:tcW w:w="2368" w:type="dxa"/>
            <w:vAlign w:val="center"/>
          </w:tcPr>
          <w:p w:rsidR="00DD2A06" w:rsidRPr="00152274" w:rsidRDefault="00DD2A06" w:rsidP="00DD2A06">
            <w:pPr>
              <w:spacing w:after="0"/>
              <w:jc w:val="left"/>
              <w:rPr>
                <w:rFonts w:cs="Arial"/>
              </w:rPr>
            </w:pPr>
            <w:r w:rsidRPr="00152274">
              <w:rPr>
                <w:rFonts w:cs="Arial"/>
              </w:rPr>
              <w:t>Business Rate Baseline</w:t>
            </w:r>
          </w:p>
        </w:tc>
        <w:tc>
          <w:tcPr>
            <w:tcW w:w="1120" w:type="dxa"/>
            <w:vAlign w:val="center"/>
          </w:tcPr>
          <w:p w:rsidR="00DD2A06" w:rsidRPr="00152274" w:rsidRDefault="00DD2A06" w:rsidP="00DD2A06">
            <w:pPr>
              <w:spacing w:after="0"/>
              <w:jc w:val="right"/>
              <w:rPr>
                <w:rFonts w:cs="Arial"/>
              </w:rPr>
            </w:pPr>
            <w:r w:rsidRPr="00152274">
              <w:rPr>
                <w:rFonts w:cs="Arial"/>
              </w:rPr>
              <w:t>182.642</w:t>
            </w:r>
          </w:p>
        </w:tc>
        <w:tc>
          <w:tcPr>
            <w:tcW w:w="1120" w:type="dxa"/>
            <w:vAlign w:val="center"/>
          </w:tcPr>
          <w:p w:rsidR="00DD2A06" w:rsidRPr="00152274" w:rsidRDefault="00DD2A06" w:rsidP="00DD2A06">
            <w:pPr>
              <w:spacing w:after="0"/>
              <w:jc w:val="right"/>
              <w:rPr>
                <w:rFonts w:cs="Arial"/>
              </w:rPr>
            </w:pPr>
            <w:r w:rsidRPr="00152274">
              <w:rPr>
                <w:rFonts w:cs="Arial"/>
              </w:rPr>
              <w:t>189.138</w:t>
            </w:r>
          </w:p>
        </w:tc>
        <w:tc>
          <w:tcPr>
            <w:tcW w:w="1120" w:type="dxa"/>
            <w:vAlign w:val="center"/>
          </w:tcPr>
          <w:p w:rsidR="00DD2A06" w:rsidRPr="00152274" w:rsidRDefault="00DD2A06" w:rsidP="00DD2A06">
            <w:pPr>
              <w:spacing w:after="0"/>
              <w:jc w:val="right"/>
              <w:rPr>
                <w:rFonts w:cs="Arial"/>
              </w:rPr>
            </w:pPr>
            <w:r w:rsidRPr="00152274">
              <w:rPr>
                <w:rFonts w:cs="Arial"/>
              </w:rPr>
              <w:t>194.249</w:t>
            </w:r>
          </w:p>
        </w:tc>
        <w:tc>
          <w:tcPr>
            <w:tcW w:w="1084" w:type="dxa"/>
            <w:vAlign w:val="center"/>
          </w:tcPr>
          <w:p w:rsidR="00DD2A06" w:rsidRPr="00152274" w:rsidRDefault="00DD2A06" w:rsidP="00DD2A06">
            <w:pPr>
              <w:spacing w:after="0"/>
              <w:jc w:val="right"/>
              <w:rPr>
                <w:rFonts w:cs="Arial"/>
              </w:rPr>
            </w:pPr>
            <w:r w:rsidRPr="00152274">
              <w:rPr>
                <w:rFonts w:cs="Arial"/>
              </w:rPr>
              <w:t>199.597</w:t>
            </w:r>
          </w:p>
        </w:tc>
      </w:tr>
      <w:tr w:rsidR="00883109" w:rsidTr="00DD2A06">
        <w:trPr>
          <w:trHeight w:val="672"/>
          <w:jc w:val="center"/>
        </w:trPr>
        <w:tc>
          <w:tcPr>
            <w:tcW w:w="2368" w:type="dxa"/>
            <w:shd w:val="clear" w:color="auto" w:fill="D9D9D9" w:themeFill="background1" w:themeFillShade="D9"/>
            <w:vAlign w:val="center"/>
          </w:tcPr>
          <w:p w:rsidR="00DD2A06" w:rsidRPr="00152274" w:rsidRDefault="00DD2A06" w:rsidP="00DD2A06">
            <w:pPr>
              <w:spacing w:after="0"/>
              <w:jc w:val="left"/>
              <w:rPr>
                <w:rFonts w:cs="Arial"/>
                <w:b/>
              </w:rPr>
            </w:pPr>
            <w:r w:rsidRPr="00152274">
              <w:rPr>
                <w:rFonts w:cs="Arial"/>
                <w:b/>
              </w:rPr>
              <w:t>Total</w:t>
            </w:r>
          </w:p>
        </w:tc>
        <w:tc>
          <w:tcPr>
            <w:tcW w:w="1120" w:type="dxa"/>
            <w:shd w:val="clear" w:color="auto" w:fill="D9D9D9" w:themeFill="background1" w:themeFillShade="D9"/>
            <w:vAlign w:val="center"/>
          </w:tcPr>
          <w:p w:rsidR="00DD2A06" w:rsidRPr="00152274" w:rsidRDefault="00DD2A06" w:rsidP="00DD2A06">
            <w:pPr>
              <w:spacing w:after="0"/>
              <w:jc w:val="right"/>
              <w:rPr>
                <w:rFonts w:cs="Arial"/>
                <w:b/>
              </w:rPr>
            </w:pPr>
            <w:r w:rsidRPr="00152274">
              <w:rPr>
                <w:rFonts w:cs="Arial"/>
                <w:b/>
              </w:rPr>
              <w:t>239.621</w:t>
            </w:r>
          </w:p>
        </w:tc>
        <w:tc>
          <w:tcPr>
            <w:tcW w:w="1120" w:type="dxa"/>
            <w:shd w:val="clear" w:color="auto" w:fill="D9D9D9" w:themeFill="background1" w:themeFillShade="D9"/>
            <w:vAlign w:val="center"/>
          </w:tcPr>
          <w:p w:rsidR="00DD2A06" w:rsidRPr="00152274" w:rsidRDefault="00DD2A06" w:rsidP="00DD2A06">
            <w:pPr>
              <w:spacing w:after="0"/>
              <w:jc w:val="right"/>
              <w:rPr>
                <w:rFonts w:cs="Arial"/>
                <w:b/>
              </w:rPr>
            </w:pPr>
            <w:r w:rsidRPr="00152274">
              <w:rPr>
                <w:rFonts w:cs="Arial"/>
                <w:b/>
              </w:rPr>
              <w:t>222.032</w:t>
            </w:r>
          </w:p>
        </w:tc>
        <w:tc>
          <w:tcPr>
            <w:tcW w:w="1120" w:type="dxa"/>
            <w:shd w:val="clear" w:color="auto" w:fill="D9D9D9" w:themeFill="background1" w:themeFillShade="D9"/>
            <w:vAlign w:val="center"/>
          </w:tcPr>
          <w:p w:rsidR="00DD2A06" w:rsidRPr="00152274" w:rsidRDefault="00DD2A06" w:rsidP="00DD2A06">
            <w:pPr>
              <w:spacing w:after="0"/>
              <w:jc w:val="right"/>
              <w:rPr>
                <w:rFonts w:cs="Arial"/>
                <w:b/>
              </w:rPr>
            </w:pPr>
            <w:r w:rsidRPr="00152274">
              <w:rPr>
                <w:rFonts w:cs="Arial"/>
                <w:b/>
              </w:rPr>
              <w:t>194.249</w:t>
            </w:r>
          </w:p>
        </w:tc>
        <w:tc>
          <w:tcPr>
            <w:tcW w:w="1084" w:type="dxa"/>
            <w:shd w:val="clear" w:color="auto" w:fill="D9D9D9" w:themeFill="background1" w:themeFillShade="D9"/>
            <w:vAlign w:val="center"/>
          </w:tcPr>
          <w:p w:rsidR="00DD2A06" w:rsidRPr="00152274" w:rsidRDefault="00DD2A06" w:rsidP="00DD2A06">
            <w:pPr>
              <w:spacing w:after="0"/>
              <w:jc w:val="right"/>
              <w:rPr>
                <w:rFonts w:cs="Arial"/>
                <w:b/>
              </w:rPr>
            </w:pPr>
            <w:r w:rsidRPr="00152274">
              <w:rPr>
                <w:rFonts w:cs="Arial"/>
                <w:b/>
              </w:rPr>
              <w:t>199.597</w:t>
            </w:r>
          </w:p>
        </w:tc>
      </w:tr>
      <w:tr w:rsidR="00883109" w:rsidTr="00DD2A06">
        <w:trPr>
          <w:trHeight w:val="672"/>
          <w:jc w:val="center"/>
        </w:trPr>
        <w:tc>
          <w:tcPr>
            <w:tcW w:w="2368" w:type="dxa"/>
            <w:shd w:val="clear" w:color="auto" w:fill="auto"/>
            <w:vAlign w:val="center"/>
          </w:tcPr>
          <w:p w:rsidR="00DD2A06" w:rsidRPr="00152274" w:rsidRDefault="00DD2A06" w:rsidP="00DD2A06">
            <w:pPr>
              <w:spacing w:after="0"/>
              <w:jc w:val="left"/>
              <w:rPr>
                <w:rFonts w:cs="Arial"/>
              </w:rPr>
            </w:pPr>
            <w:r w:rsidRPr="00152274">
              <w:rPr>
                <w:rFonts w:cs="Arial"/>
              </w:rPr>
              <w:t>Reduction in SFA</w:t>
            </w:r>
          </w:p>
        </w:tc>
        <w:tc>
          <w:tcPr>
            <w:tcW w:w="1120" w:type="dxa"/>
            <w:shd w:val="clear" w:color="auto" w:fill="auto"/>
            <w:vAlign w:val="center"/>
          </w:tcPr>
          <w:p w:rsidR="00DD2A06" w:rsidRPr="00152274" w:rsidRDefault="00DD2A06" w:rsidP="00DD2A06">
            <w:pPr>
              <w:spacing w:after="0"/>
              <w:jc w:val="right"/>
              <w:rPr>
                <w:rFonts w:cs="Arial"/>
              </w:rPr>
            </w:pPr>
            <w:r w:rsidRPr="00152274">
              <w:rPr>
                <w:rFonts w:cs="Arial"/>
              </w:rPr>
              <w:t>-18.835</w:t>
            </w:r>
          </w:p>
        </w:tc>
        <w:tc>
          <w:tcPr>
            <w:tcW w:w="1120" w:type="dxa"/>
            <w:shd w:val="clear" w:color="auto" w:fill="auto"/>
            <w:vAlign w:val="center"/>
          </w:tcPr>
          <w:p w:rsidR="00DD2A06" w:rsidRPr="00152274" w:rsidRDefault="00DD2A06" w:rsidP="00DD2A06">
            <w:pPr>
              <w:spacing w:after="0"/>
              <w:jc w:val="right"/>
              <w:rPr>
                <w:rFonts w:cs="Arial"/>
              </w:rPr>
            </w:pPr>
            <w:r w:rsidRPr="00152274">
              <w:rPr>
                <w:rFonts w:cs="Arial"/>
              </w:rPr>
              <w:t>-17.589</w:t>
            </w:r>
          </w:p>
        </w:tc>
        <w:tc>
          <w:tcPr>
            <w:tcW w:w="1120" w:type="dxa"/>
            <w:tcBorders>
              <w:top w:val="nil"/>
              <w:left w:val="nil"/>
              <w:bottom w:val="single" w:sz="8" w:space="0" w:color="auto"/>
              <w:right w:val="single" w:sz="8" w:space="0" w:color="auto"/>
            </w:tcBorders>
            <w:shd w:val="clear" w:color="auto" w:fill="auto"/>
            <w:vAlign w:val="center"/>
          </w:tcPr>
          <w:p w:rsidR="00DD2A06" w:rsidRPr="00152274" w:rsidRDefault="00DD2A06" w:rsidP="00DD2A06">
            <w:pPr>
              <w:spacing w:after="0"/>
              <w:jc w:val="right"/>
              <w:rPr>
                <w:rFonts w:cs="Arial"/>
              </w:rPr>
            </w:pPr>
            <w:r w:rsidRPr="00152274">
              <w:rPr>
                <w:rFonts w:cs="Arial"/>
              </w:rPr>
              <w:t>-27.783</w:t>
            </w:r>
          </w:p>
        </w:tc>
        <w:tc>
          <w:tcPr>
            <w:tcW w:w="1084" w:type="dxa"/>
            <w:tcBorders>
              <w:top w:val="nil"/>
              <w:left w:val="nil"/>
              <w:bottom w:val="single" w:sz="8" w:space="0" w:color="auto"/>
              <w:right w:val="single" w:sz="8" w:space="0" w:color="auto"/>
            </w:tcBorders>
            <w:shd w:val="clear" w:color="auto" w:fill="auto"/>
            <w:vAlign w:val="center"/>
          </w:tcPr>
          <w:p w:rsidR="00DD2A06" w:rsidRPr="00152274" w:rsidRDefault="00DD2A06" w:rsidP="00DD2A06">
            <w:pPr>
              <w:spacing w:after="0"/>
              <w:jc w:val="right"/>
              <w:rPr>
                <w:rFonts w:cs="Arial"/>
              </w:rPr>
            </w:pPr>
            <w:r w:rsidRPr="00152274">
              <w:rPr>
                <w:rFonts w:cs="Arial"/>
              </w:rPr>
              <w:t>5.348</w:t>
            </w:r>
          </w:p>
        </w:tc>
      </w:tr>
    </w:tbl>
    <w:p w:rsidR="00DD2A06" w:rsidRPr="00882976" w:rsidRDefault="00DD2A06" w:rsidP="00DD2A06">
      <w:pPr>
        <w:rPr>
          <w:rFonts w:cs="Arial"/>
        </w:rPr>
      </w:pPr>
    </w:p>
    <w:p w:rsidR="00DD2A06" w:rsidRDefault="00C82527" w:rsidP="00DD2A06">
      <w:pPr>
        <w:spacing w:after="0"/>
        <w:rPr>
          <w:rFonts w:cs="Arial"/>
        </w:rPr>
      </w:pPr>
      <w:r>
        <w:rPr>
          <w:rFonts w:cs="Arial"/>
        </w:rPr>
        <w:t>As t</w:t>
      </w:r>
      <w:r w:rsidR="00DD2A06" w:rsidRPr="00435B4E">
        <w:rPr>
          <w:rFonts w:cs="Arial"/>
        </w:rPr>
        <w:t>he County Council opted not to accept the four year</w:t>
      </w:r>
      <w:r>
        <w:rPr>
          <w:rFonts w:cs="Arial"/>
        </w:rPr>
        <w:t xml:space="preserve"> settlement offered in 2016/17, the decision</w:t>
      </w:r>
      <w:r w:rsidR="00DD2A06" w:rsidRPr="00435B4E">
        <w:rPr>
          <w:rFonts w:cs="Arial"/>
        </w:rPr>
        <w:t xml:space="preserve"> could result in future years grant being subject to change. As part of this forecast Revenue Support Grant is assumed to reduce each year until ultimately it is phased out completely by April 202</w:t>
      </w:r>
      <w:r w:rsidR="00DD2A06">
        <w:rPr>
          <w:rFonts w:cs="Arial"/>
        </w:rPr>
        <w:t>0</w:t>
      </w:r>
      <w:r w:rsidR="00DD2A06" w:rsidRPr="00435B4E">
        <w:rPr>
          <w:rFonts w:cs="Arial"/>
        </w:rPr>
        <w:t xml:space="preserve"> at the latest.</w:t>
      </w:r>
      <w:r>
        <w:rPr>
          <w:rFonts w:cs="Arial"/>
        </w:rPr>
        <w:t xml:space="preserve"> I</w:t>
      </w:r>
      <w:r w:rsidR="00DD2A06">
        <w:rPr>
          <w:rFonts w:cs="Arial"/>
        </w:rPr>
        <w:t>t is hoped that</w:t>
      </w:r>
      <w:r>
        <w:rPr>
          <w:rFonts w:cs="Arial"/>
        </w:rPr>
        <w:t>,</w:t>
      </w:r>
      <w:r w:rsidR="00DD2A06">
        <w:rPr>
          <w:rFonts w:cs="Arial"/>
        </w:rPr>
        <w:t xml:space="preserve"> as part of the new funding formula and 10</w:t>
      </w:r>
      <w:r>
        <w:rPr>
          <w:rFonts w:cs="Arial"/>
        </w:rPr>
        <w:t xml:space="preserve">0% business rates retention the </w:t>
      </w:r>
      <w:r w:rsidR="00DD2A06">
        <w:rPr>
          <w:rFonts w:cs="Arial"/>
        </w:rPr>
        <w:t xml:space="preserve">County Council will be compensated </w:t>
      </w:r>
      <w:r>
        <w:rPr>
          <w:rFonts w:cs="Arial"/>
        </w:rPr>
        <w:t xml:space="preserve">for the removal of RSG and </w:t>
      </w:r>
      <w:r w:rsidR="00DD2A06">
        <w:rPr>
          <w:rFonts w:cs="Arial"/>
        </w:rPr>
        <w:t xml:space="preserve">the new scheme that is put </w:t>
      </w:r>
      <w:r>
        <w:rPr>
          <w:rFonts w:cs="Arial"/>
        </w:rPr>
        <w:t>in place</w:t>
      </w:r>
      <w:r w:rsidR="00DD2A06">
        <w:rPr>
          <w:rFonts w:cs="Arial"/>
        </w:rPr>
        <w:t xml:space="preserve"> will be cost neutral</w:t>
      </w:r>
      <w:r>
        <w:rPr>
          <w:rFonts w:cs="Arial"/>
        </w:rPr>
        <w:t>.</w:t>
      </w:r>
      <w:r w:rsidR="00DD2A06">
        <w:rPr>
          <w:rFonts w:cs="Arial"/>
        </w:rPr>
        <w:t xml:space="preserve"> </w:t>
      </w:r>
      <w:r>
        <w:rPr>
          <w:rFonts w:cs="Arial"/>
        </w:rPr>
        <w:t>T</w:t>
      </w:r>
      <w:r w:rsidR="00DD2A06">
        <w:rPr>
          <w:rFonts w:cs="Arial"/>
        </w:rPr>
        <w:t xml:space="preserve">his will become clearer as more information becomes available. </w:t>
      </w:r>
    </w:p>
    <w:p w:rsidR="00DD2A06" w:rsidRPr="00882976" w:rsidRDefault="00DD2A06" w:rsidP="00DD2A06">
      <w:pPr>
        <w:spacing w:after="0"/>
        <w:rPr>
          <w:rFonts w:cs="Arial"/>
        </w:rPr>
      </w:pPr>
    </w:p>
    <w:p w:rsidR="00DD2A06" w:rsidRPr="00882976" w:rsidRDefault="00DD2A06" w:rsidP="00DD2A06">
      <w:pPr>
        <w:spacing w:after="0"/>
        <w:rPr>
          <w:rFonts w:cs="Arial"/>
        </w:rPr>
      </w:pPr>
      <w:r>
        <w:rPr>
          <w:rFonts w:cs="Arial"/>
        </w:rPr>
        <w:t>T</w:t>
      </w:r>
      <w:r w:rsidRPr="00882976">
        <w:rPr>
          <w:rFonts w:cs="Arial"/>
        </w:rPr>
        <w:t>he forecast of economic growth</w:t>
      </w:r>
      <w:r>
        <w:rPr>
          <w:rFonts w:cs="Arial"/>
        </w:rPr>
        <w:t xml:space="preserve"> at the time of the Budget was 2% for 2017 but a worsening position was forecast in 2018 (1.6%).</w:t>
      </w:r>
      <w:r w:rsidRPr="00882976">
        <w:rPr>
          <w:rFonts w:cs="Arial"/>
        </w:rPr>
        <w:t xml:space="preserve"> </w:t>
      </w:r>
      <w:r>
        <w:rPr>
          <w:rFonts w:cs="Arial"/>
        </w:rPr>
        <w:t xml:space="preserve">The </w:t>
      </w:r>
      <w:r w:rsidRPr="00882976">
        <w:rPr>
          <w:rFonts w:cs="Arial"/>
        </w:rPr>
        <w:t>uncertainty following the United Kingdom's decision to leave the European Union</w:t>
      </w:r>
      <w:r>
        <w:rPr>
          <w:rFonts w:cs="Arial"/>
        </w:rPr>
        <w:t>, will undoubtedly</w:t>
      </w:r>
      <w:r w:rsidRPr="00882976">
        <w:rPr>
          <w:rFonts w:cs="Arial"/>
        </w:rPr>
        <w:t xml:space="preserve"> have an impact on Government finances and could potentially result in further public sector expenditure reductions</w:t>
      </w:r>
      <w:r>
        <w:rPr>
          <w:rFonts w:cs="Arial"/>
        </w:rPr>
        <w:t xml:space="preserve">.  </w:t>
      </w:r>
      <w:r w:rsidRPr="00882976">
        <w:rPr>
          <w:rFonts w:cs="Arial"/>
        </w:rPr>
        <w:t xml:space="preserve"> </w:t>
      </w:r>
    </w:p>
    <w:p w:rsidR="00DD2A06" w:rsidRDefault="00DD2A06" w:rsidP="00DD2A06">
      <w:pPr>
        <w:spacing w:after="0"/>
        <w:rPr>
          <w:rFonts w:cs="Arial"/>
          <w:b/>
          <w:u w:val="single"/>
        </w:rPr>
      </w:pPr>
    </w:p>
    <w:p w:rsidR="00DD2A06" w:rsidRPr="00684756" w:rsidRDefault="00DD2A06" w:rsidP="00DD2A06">
      <w:pPr>
        <w:spacing w:after="0"/>
        <w:rPr>
          <w:rFonts w:cs="Arial"/>
          <w:b/>
        </w:rPr>
      </w:pPr>
      <w:r>
        <w:rPr>
          <w:rFonts w:cs="Arial"/>
          <w:b/>
        </w:rPr>
        <w:t xml:space="preserve">2.2 </w:t>
      </w:r>
      <w:r w:rsidRPr="00684756">
        <w:rPr>
          <w:rFonts w:cs="Arial"/>
          <w:b/>
        </w:rPr>
        <w:t xml:space="preserve">Business Rates </w:t>
      </w:r>
    </w:p>
    <w:p w:rsidR="00DD2A06" w:rsidRDefault="00DD2A06" w:rsidP="00DD2A06">
      <w:pPr>
        <w:spacing w:after="0"/>
        <w:rPr>
          <w:rFonts w:cs="Arial"/>
        </w:rPr>
      </w:pPr>
    </w:p>
    <w:p w:rsidR="00DD2A06" w:rsidRDefault="00DD2A06" w:rsidP="00DD2A06">
      <w:pPr>
        <w:spacing w:after="0"/>
        <w:rPr>
          <w:rFonts w:cs="Arial"/>
        </w:rPr>
      </w:pPr>
      <w:r>
        <w:rPr>
          <w:rFonts w:cs="Arial"/>
        </w:rPr>
        <w:t>Business Rates income</w:t>
      </w:r>
      <w:r w:rsidRPr="00882976">
        <w:rPr>
          <w:rFonts w:cs="Arial"/>
        </w:rPr>
        <w:t xml:space="preserve"> consists of:</w:t>
      </w:r>
    </w:p>
    <w:p w:rsidR="00DD2A06" w:rsidRPr="00882976" w:rsidRDefault="00DD2A06" w:rsidP="00DD2A06">
      <w:pPr>
        <w:spacing w:after="0"/>
        <w:rPr>
          <w:rFonts w:cs="Arial"/>
        </w:rPr>
      </w:pPr>
    </w:p>
    <w:p w:rsidR="00DD2A06" w:rsidRPr="00882976" w:rsidRDefault="00DD2A06" w:rsidP="00DD2A06">
      <w:pPr>
        <w:pStyle w:val="ListParagraph"/>
        <w:numPr>
          <w:ilvl w:val="0"/>
          <w:numId w:val="28"/>
        </w:numPr>
        <w:autoSpaceDE/>
        <w:autoSpaceDN/>
        <w:adjustRightInd/>
        <w:spacing w:after="160" w:line="259" w:lineRule="auto"/>
        <w:jc w:val="left"/>
        <w:rPr>
          <w:rFonts w:cs="Arial"/>
        </w:rPr>
      </w:pPr>
      <w:r>
        <w:rPr>
          <w:rFonts w:cs="Arial"/>
        </w:rPr>
        <w:t>Business R</w:t>
      </w:r>
      <w:r w:rsidRPr="00882976">
        <w:rPr>
          <w:rFonts w:cs="Arial"/>
        </w:rPr>
        <w:t>ate</w:t>
      </w:r>
      <w:r>
        <w:rPr>
          <w:rFonts w:cs="Arial"/>
        </w:rPr>
        <w:t>s Top Up G</w:t>
      </w:r>
      <w:r w:rsidRPr="00882976">
        <w:rPr>
          <w:rFonts w:cs="Arial"/>
        </w:rPr>
        <w:t>rant</w:t>
      </w:r>
    </w:p>
    <w:p w:rsidR="00DD2A06" w:rsidRPr="00882976" w:rsidRDefault="00DD2A06" w:rsidP="00DD2A06">
      <w:pPr>
        <w:pStyle w:val="ListParagraph"/>
        <w:numPr>
          <w:ilvl w:val="0"/>
          <w:numId w:val="28"/>
        </w:numPr>
        <w:autoSpaceDE/>
        <w:autoSpaceDN/>
        <w:adjustRightInd/>
        <w:spacing w:after="160" w:line="259" w:lineRule="auto"/>
        <w:jc w:val="left"/>
        <w:rPr>
          <w:rFonts w:cs="Arial"/>
        </w:rPr>
      </w:pPr>
      <w:r>
        <w:rPr>
          <w:rFonts w:cs="Arial"/>
        </w:rPr>
        <w:t>Business R</w:t>
      </w:r>
      <w:r w:rsidRPr="00882976">
        <w:rPr>
          <w:rFonts w:cs="Arial"/>
        </w:rPr>
        <w:t>ate</w:t>
      </w:r>
      <w:r>
        <w:rPr>
          <w:rFonts w:cs="Arial"/>
        </w:rPr>
        <w:t>s</w:t>
      </w:r>
      <w:r w:rsidRPr="00882976">
        <w:rPr>
          <w:rFonts w:cs="Arial"/>
        </w:rPr>
        <w:t xml:space="preserve"> income from District Councils</w:t>
      </w:r>
    </w:p>
    <w:p w:rsidR="00DD2A06" w:rsidRDefault="00DD2A06" w:rsidP="00DD2A06">
      <w:pPr>
        <w:pStyle w:val="ListParagraph"/>
        <w:numPr>
          <w:ilvl w:val="0"/>
          <w:numId w:val="28"/>
        </w:numPr>
        <w:autoSpaceDE/>
        <w:autoSpaceDN/>
        <w:adjustRightInd/>
        <w:spacing w:after="0" w:line="259" w:lineRule="auto"/>
        <w:jc w:val="left"/>
        <w:rPr>
          <w:rFonts w:cs="Arial"/>
        </w:rPr>
      </w:pPr>
      <w:r>
        <w:rPr>
          <w:rFonts w:cs="Arial"/>
        </w:rPr>
        <w:t>Section 31 G</w:t>
      </w:r>
      <w:r w:rsidRPr="00882976">
        <w:rPr>
          <w:rFonts w:cs="Arial"/>
        </w:rPr>
        <w:t>rants</w:t>
      </w:r>
    </w:p>
    <w:p w:rsidR="00DD2A06" w:rsidRPr="00152274" w:rsidRDefault="00DD2A06" w:rsidP="00DD2A06">
      <w:pPr>
        <w:autoSpaceDE/>
        <w:autoSpaceDN/>
        <w:adjustRightInd/>
        <w:spacing w:after="0" w:line="259" w:lineRule="auto"/>
        <w:jc w:val="left"/>
        <w:rPr>
          <w:rFonts w:cs="Arial"/>
        </w:rPr>
      </w:pPr>
    </w:p>
    <w:p w:rsidR="00DD2A06" w:rsidRPr="00CD1DFD" w:rsidRDefault="00DD2A06" w:rsidP="00DD2A06">
      <w:pPr>
        <w:spacing w:after="0"/>
        <w:rPr>
          <w:rFonts w:cs="Arial"/>
        </w:rPr>
      </w:pPr>
      <w:r w:rsidRPr="00882976">
        <w:rPr>
          <w:rFonts w:cs="Arial"/>
        </w:rPr>
        <w:t>As shown in the table above detailing the SFA the business rate income is a significant portion of funding to local authorities. The baseline is an assessment of the business rate income required to meet service needs. For the County Council</w:t>
      </w:r>
      <w:r>
        <w:rPr>
          <w:rFonts w:cs="Arial"/>
        </w:rPr>
        <w:t>,</w:t>
      </w:r>
      <w:r w:rsidRPr="00882976">
        <w:rPr>
          <w:rFonts w:cs="Arial"/>
        </w:rPr>
        <w:t xml:space="preserve"> the amount anticipated to be received from the business rates collected in the area is less than its assessed need</w:t>
      </w:r>
      <w:r>
        <w:rPr>
          <w:rFonts w:cs="Arial"/>
        </w:rPr>
        <w:t>,</w:t>
      </w:r>
      <w:r w:rsidRPr="00882976">
        <w:rPr>
          <w:rFonts w:cs="Arial"/>
        </w:rPr>
        <w:t xml:space="preserve"> therefore it receives a top up grant. </w:t>
      </w:r>
      <w:r>
        <w:rPr>
          <w:rFonts w:cs="Arial"/>
        </w:rPr>
        <w:t xml:space="preserve">There are no changes to the forecast income from Business Rates at Quarter 2. </w:t>
      </w:r>
    </w:p>
    <w:p w:rsidR="00DD2A06" w:rsidRDefault="00DD2A06" w:rsidP="00DD2A06">
      <w:pPr>
        <w:spacing w:after="0"/>
        <w:rPr>
          <w:rFonts w:cs="Arial"/>
        </w:rPr>
      </w:pPr>
    </w:p>
    <w:p w:rsidR="00DD2A06" w:rsidRPr="00882976" w:rsidRDefault="005E2B8F" w:rsidP="00DD2A06">
      <w:pPr>
        <w:spacing w:after="0"/>
        <w:rPr>
          <w:rFonts w:cs="Arial"/>
        </w:rPr>
      </w:pPr>
      <w:r>
        <w:rPr>
          <w:rFonts w:cs="Arial"/>
        </w:rPr>
        <w:t>Business Rates i</w:t>
      </w:r>
      <w:r w:rsidR="00DD2A06">
        <w:rPr>
          <w:rFonts w:cs="Arial"/>
        </w:rPr>
        <w:t xml:space="preserve">ncome for the County Council is heavily dependent upon cooperation from the District Councils, </w:t>
      </w:r>
      <w:r w:rsidR="00DD2A06" w:rsidRPr="00882976">
        <w:rPr>
          <w:rFonts w:cs="Arial"/>
        </w:rPr>
        <w:t>and much will depend on the general economic performance of local areas. In addition, there are valuation appeals outstanding, some of which are on large value properties.  If successful these will have a negative impact on the ability to generate business rates.</w:t>
      </w:r>
      <w:r w:rsidR="00DD2A06">
        <w:rPr>
          <w:rFonts w:cs="Arial"/>
        </w:rPr>
        <w:t xml:space="preserve">  With this in mind a minimal amount of growth has been built into the local share.</w:t>
      </w:r>
    </w:p>
    <w:p w:rsidR="00DD2A06" w:rsidRPr="00882976" w:rsidRDefault="00DD2A06" w:rsidP="00DD2A06">
      <w:pPr>
        <w:spacing w:after="0"/>
        <w:rPr>
          <w:rFonts w:cs="Arial"/>
        </w:rPr>
      </w:pPr>
    </w:p>
    <w:p w:rsidR="00DD2A06" w:rsidRPr="00882976" w:rsidRDefault="00DD2A06" w:rsidP="00DD2A06">
      <w:pPr>
        <w:spacing w:after="0"/>
        <w:rPr>
          <w:rFonts w:cs="Arial"/>
        </w:rPr>
      </w:pPr>
      <w:r w:rsidRPr="00882976">
        <w:rPr>
          <w:rFonts w:cs="Arial"/>
        </w:rPr>
        <w:t xml:space="preserve">The baseline data </w:t>
      </w:r>
      <w:r>
        <w:rPr>
          <w:rFonts w:cs="Arial"/>
        </w:rPr>
        <w:t xml:space="preserve">from the government </w:t>
      </w:r>
      <w:r w:rsidRPr="00882976">
        <w:rPr>
          <w:rFonts w:cs="Arial"/>
        </w:rPr>
        <w:t>already assumes an increase in income derived from local business rates. Therefore given the economic uncertainty</w:t>
      </w:r>
      <w:r>
        <w:rPr>
          <w:rFonts w:cs="Arial"/>
        </w:rPr>
        <w:t>,</w:t>
      </w:r>
      <w:r w:rsidRPr="00882976">
        <w:rPr>
          <w:rFonts w:cs="Arial"/>
        </w:rPr>
        <w:t xml:space="preserve"> </w:t>
      </w:r>
      <w:r>
        <w:rPr>
          <w:rFonts w:cs="Arial"/>
        </w:rPr>
        <w:t>no further growth has been built in on top of this.</w:t>
      </w:r>
    </w:p>
    <w:p w:rsidR="00DD2A06" w:rsidRPr="00882976" w:rsidRDefault="00DD2A06" w:rsidP="00DD2A06">
      <w:pPr>
        <w:spacing w:after="0"/>
        <w:rPr>
          <w:rFonts w:cs="Arial"/>
        </w:rPr>
      </w:pPr>
    </w:p>
    <w:p w:rsidR="00DD2A06" w:rsidRDefault="00DD2A06" w:rsidP="00DD2A06">
      <w:pPr>
        <w:spacing w:after="0"/>
        <w:rPr>
          <w:rFonts w:cs="Arial"/>
        </w:rPr>
      </w:pPr>
      <w:r>
        <w:rPr>
          <w:rFonts w:cs="Arial"/>
        </w:rPr>
        <w:t xml:space="preserve">The Government compensates authorities for the cost of a number of measures which they have introduced via Section 31 grant such as small business rates relief and the multiplier cap. Some of these reliefs are likely to rise with inflation as without the measure introduced, the income would have increased, whereas the other reliefs are more likely to relate to the change in the business rate base.  It is assumed that the level of these reliefs is maintained at the current level. </w:t>
      </w:r>
    </w:p>
    <w:p w:rsidR="00DD2A06" w:rsidRPr="00882976" w:rsidRDefault="00DD2A06" w:rsidP="00DD2A06">
      <w:pPr>
        <w:spacing w:after="0"/>
        <w:rPr>
          <w:rFonts w:cs="Arial"/>
        </w:rPr>
      </w:pPr>
    </w:p>
    <w:p w:rsidR="00DD2A06" w:rsidRDefault="00DD2A06" w:rsidP="00DD2A06">
      <w:pPr>
        <w:spacing w:after="0"/>
        <w:rPr>
          <w:rFonts w:cs="Arial"/>
          <w:i/>
          <w:u w:val="single"/>
        </w:rPr>
      </w:pPr>
      <w:r w:rsidRPr="00157F8D">
        <w:rPr>
          <w:rFonts w:cs="Arial"/>
          <w:i/>
          <w:u w:val="single"/>
        </w:rPr>
        <w:t>The Lancashire Business Rates Pool</w:t>
      </w:r>
    </w:p>
    <w:p w:rsidR="00DD2A06" w:rsidRPr="00BD7077" w:rsidRDefault="00DD2A06" w:rsidP="00DD2A06">
      <w:pPr>
        <w:spacing w:after="0"/>
        <w:rPr>
          <w:rFonts w:cs="Arial"/>
        </w:rPr>
      </w:pPr>
    </w:p>
    <w:p w:rsidR="00DD2A06" w:rsidRDefault="00DD2A06" w:rsidP="00DD2A06">
      <w:pPr>
        <w:spacing w:after="0"/>
        <w:rPr>
          <w:rFonts w:cs="Arial"/>
        </w:rPr>
      </w:pPr>
      <w:r w:rsidRPr="00E84340">
        <w:rPr>
          <w:rFonts w:cs="Arial"/>
        </w:rPr>
        <w:t>The final aspect of the business rate forecast is the pooling arrangement. The 2017/18 budget includes an additional £0.407m due to the continuation of the Lancashire Pool.  This is agreed on an annual basis, therefore</w:t>
      </w:r>
      <w:r>
        <w:rPr>
          <w:rFonts w:cs="Arial"/>
        </w:rPr>
        <w:t xml:space="preserve"> the additional income has not been included past 2017/18. </w:t>
      </w:r>
    </w:p>
    <w:p w:rsidR="00DD2A06" w:rsidRDefault="00DD2A06" w:rsidP="00DD2A06">
      <w:pPr>
        <w:spacing w:after="0"/>
        <w:rPr>
          <w:rFonts w:cs="Arial"/>
        </w:rPr>
      </w:pPr>
    </w:p>
    <w:p w:rsidR="00DD2A06" w:rsidRPr="00EE2A78" w:rsidRDefault="00DD2A06" w:rsidP="00DD2A06">
      <w:pPr>
        <w:spacing w:after="0"/>
        <w:rPr>
          <w:rFonts w:cs="Arial"/>
        </w:rPr>
      </w:pPr>
      <w:r w:rsidRPr="00EE2A78">
        <w:rPr>
          <w:rFonts w:cs="Arial"/>
        </w:rPr>
        <w:t>It is important to note that due to Lancashire County Council being part of a pooling arrangement</w:t>
      </w:r>
      <w:r>
        <w:rPr>
          <w:rFonts w:cs="Arial"/>
        </w:rPr>
        <w:t xml:space="preserve"> it has </w:t>
      </w:r>
      <w:r w:rsidRPr="00EE2A78">
        <w:rPr>
          <w:rFonts w:cs="Arial"/>
        </w:rPr>
        <w:t>forfeited the right to a safety net payment should our business rates income decline significantly</w:t>
      </w:r>
      <w:r>
        <w:rPr>
          <w:rFonts w:cs="Arial"/>
        </w:rPr>
        <w:t>,</w:t>
      </w:r>
      <w:r w:rsidRPr="00EE2A78">
        <w:rPr>
          <w:rFonts w:cs="Arial"/>
        </w:rPr>
        <w:t xml:space="preserve"> by more than 7.5%.</w:t>
      </w:r>
    </w:p>
    <w:p w:rsidR="00DD2A06" w:rsidRPr="00EE2A78" w:rsidRDefault="00DD2A06" w:rsidP="00DD2A06">
      <w:pPr>
        <w:spacing w:after="0"/>
        <w:rPr>
          <w:rFonts w:cs="Arial"/>
        </w:rPr>
      </w:pPr>
    </w:p>
    <w:p w:rsidR="00DD2A06" w:rsidRDefault="00DD2A06" w:rsidP="00DD2A06">
      <w:pPr>
        <w:spacing w:after="0"/>
        <w:rPr>
          <w:rFonts w:cs="Arial"/>
          <w:b/>
        </w:rPr>
      </w:pPr>
      <w:r>
        <w:rPr>
          <w:rFonts w:cs="Arial"/>
          <w:b/>
        </w:rPr>
        <w:t xml:space="preserve">2.3 </w:t>
      </w:r>
      <w:r w:rsidRPr="00684756">
        <w:rPr>
          <w:rFonts w:cs="Arial"/>
          <w:b/>
        </w:rPr>
        <w:t>Council Tax</w:t>
      </w:r>
    </w:p>
    <w:p w:rsidR="00DD2A06" w:rsidRPr="00684756" w:rsidRDefault="00DD2A06" w:rsidP="00DD2A06">
      <w:pPr>
        <w:spacing w:after="0"/>
        <w:rPr>
          <w:rFonts w:cs="Arial"/>
          <w:b/>
        </w:rPr>
      </w:pPr>
    </w:p>
    <w:p w:rsidR="00DD2A06" w:rsidRDefault="00DD2A06" w:rsidP="00DD2A06">
      <w:pPr>
        <w:spacing w:after="0"/>
        <w:rPr>
          <w:rFonts w:cs="Arial"/>
        </w:rPr>
      </w:pPr>
      <w:r>
        <w:rPr>
          <w:rFonts w:cs="Arial"/>
        </w:rPr>
        <w:t>In the P</w:t>
      </w:r>
      <w:r w:rsidRPr="00CD6342">
        <w:rPr>
          <w:rFonts w:cs="Arial"/>
        </w:rPr>
        <w:t xml:space="preserve">rovisional </w:t>
      </w:r>
      <w:r>
        <w:rPr>
          <w:rFonts w:cs="Arial"/>
        </w:rPr>
        <w:t>Financial Se</w:t>
      </w:r>
      <w:r w:rsidRPr="00CD6342">
        <w:rPr>
          <w:rFonts w:cs="Arial"/>
        </w:rPr>
        <w:t>ttlement</w:t>
      </w:r>
      <w:r>
        <w:rPr>
          <w:rFonts w:cs="Arial"/>
        </w:rPr>
        <w:t xml:space="preserve"> in December 2016</w:t>
      </w:r>
      <w:r w:rsidRPr="00CD6342">
        <w:rPr>
          <w:rFonts w:cs="Arial"/>
        </w:rPr>
        <w:t xml:space="preserve">, </w:t>
      </w:r>
      <w:r w:rsidRPr="006D064B">
        <w:rPr>
          <w:rFonts w:cs="Arial"/>
        </w:rPr>
        <w:t>in recognition of the pressures facing Local Authorities responsible for Adult Social Care</w:t>
      </w:r>
      <w:r w:rsidRPr="00CD6342">
        <w:rPr>
          <w:rFonts w:cs="Arial"/>
        </w:rPr>
        <w:t>,</w:t>
      </w:r>
      <w:r>
        <w:rPr>
          <w:rFonts w:cs="Arial"/>
        </w:rPr>
        <w:t xml:space="preserve"> the Secretary of State announced that Local Authorities could bring forward the Adult Social Care Precept, moving from a limit of 2% to 3%, but with a maximum of 6% over the three year period (2017/18 – 2019/20).  It was also announced that there would be no Adult Social Care Precept in 2020/21.</w:t>
      </w:r>
    </w:p>
    <w:p w:rsidR="00DD2A06" w:rsidRPr="006D064B" w:rsidRDefault="00DD2A06" w:rsidP="00DD2A06">
      <w:pPr>
        <w:spacing w:after="0"/>
        <w:rPr>
          <w:rFonts w:cs="Arial"/>
        </w:rPr>
      </w:pPr>
    </w:p>
    <w:p w:rsidR="00DD2A06" w:rsidRPr="00882976" w:rsidRDefault="00DD2A06" w:rsidP="00DD2A06">
      <w:pPr>
        <w:spacing w:after="0"/>
        <w:rPr>
          <w:rFonts w:cs="Arial"/>
        </w:rPr>
      </w:pPr>
      <w:r w:rsidRPr="00882976">
        <w:rPr>
          <w:rFonts w:cs="Arial"/>
        </w:rPr>
        <w:t xml:space="preserve">The MTFS presented to </w:t>
      </w:r>
      <w:r>
        <w:rPr>
          <w:rFonts w:cs="Arial"/>
        </w:rPr>
        <w:t>Cabinet in September</w:t>
      </w:r>
      <w:r w:rsidRPr="00882976">
        <w:rPr>
          <w:rFonts w:cs="Arial"/>
        </w:rPr>
        <w:t xml:space="preserve"> included the assumption that Council Tax w</w:t>
      </w:r>
      <w:r>
        <w:rPr>
          <w:rFonts w:cs="Arial"/>
        </w:rPr>
        <w:t>ould increase by 1.99% per annum</w:t>
      </w:r>
      <w:r w:rsidRPr="00882976">
        <w:rPr>
          <w:rFonts w:cs="Arial"/>
        </w:rPr>
        <w:t xml:space="preserve"> which is the current referendum limit</w:t>
      </w:r>
      <w:r>
        <w:rPr>
          <w:rFonts w:cs="Arial"/>
        </w:rPr>
        <w:t xml:space="preserve">, plus a 2% Adult Social Care Precept increase in 2018/19 and 2019/20. It is possible that the County Council could take </w:t>
      </w:r>
      <w:r w:rsidRPr="0097656B">
        <w:rPr>
          <w:rFonts w:cs="Arial"/>
        </w:rPr>
        <w:t xml:space="preserve">the decision to raise a 3% Adult Social Care Precept in 2018/19 and therefore a 1% increase in 2019/20 due to the flexibilities offered by the Government, which </w:t>
      </w:r>
      <w:r w:rsidRPr="006A574C">
        <w:rPr>
          <w:rFonts w:cs="Arial"/>
        </w:rPr>
        <w:t>would result in £4.4m of</w:t>
      </w:r>
      <w:r w:rsidRPr="0097656B">
        <w:rPr>
          <w:rFonts w:cs="Arial"/>
        </w:rPr>
        <w:t xml:space="preserve"> income being generated earlier</w:t>
      </w:r>
      <w:r>
        <w:rPr>
          <w:rFonts w:cs="Arial"/>
        </w:rPr>
        <w:t>, but by 2019/20 the cumulative position of income raised through Council Tax would be similar to the current MTFS projections</w:t>
      </w:r>
      <w:r w:rsidRPr="0097656B">
        <w:rPr>
          <w:rFonts w:cs="Arial"/>
        </w:rPr>
        <w:t>. From 2020/21 onwards, it is assumed the maximum increase</w:t>
      </w:r>
      <w:r>
        <w:rPr>
          <w:rFonts w:cs="Arial"/>
        </w:rPr>
        <w:t xml:space="preserve"> will revert back to 1.99%, as the option to raise an Adult Social Care precept will no longer be available.</w:t>
      </w:r>
      <w:r w:rsidRPr="00882976">
        <w:rPr>
          <w:rFonts w:cs="Arial"/>
        </w:rPr>
        <w:t xml:space="preserve"> </w:t>
      </w:r>
      <w:r>
        <w:rPr>
          <w:rFonts w:cs="Arial"/>
        </w:rPr>
        <w:t>These assumptions continue to be reflected within this iteration of the MTFS. It is important to note that these increases</w:t>
      </w:r>
      <w:r w:rsidRPr="009226A6">
        <w:rPr>
          <w:rFonts w:cs="Arial"/>
        </w:rPr>
        <w:t xml:space="preserve"> would be</w:t>
      </w:r>
      <w:r>
        <w:rPr>
          <w:rFonts w:cs="Arial"/>
        </w:rPr>
        <w:t xml:space="preserve"> subject to</w:t>
      </w:r>
      <w:r w:rsidRPr="009226A6">
        <w:rPr>
          <w:rFonts w:cs="Arial"/>
        </w:rPr>
        <w:t xml:space="preserve"> a Full Council decision each</w:t>
      </w:r>
      <w:r>
        <w:rPr>
          <w:rFonts w:cs="Arial"/>
        </w:rPr>
        <w:t xml:space="preserve"> year when setting the budget, but any decisions taken not to increase council tax as per the assumptions above would increase the financial gap. </w:t>
      </w:r>
    </w:p>
    <w:p w:rsidR="00DD2A06" w:rsidRDefault="00DD2A06" w:rsidP="00DD2A06">
      <w:pPr>
        <w:spacing w:after="0"/>
        <w:rPr>
          <w:rFonts w:cs="Arial"/>
        </w:rPr>
      </w:pPr>
    </w:p>
    <w:p w:rsidR="00DD2A06" w:rsidRDefault="00DD2A06" w:rsidP="00DD2A06">
      <w:pPr>
        <w:spacing w:after="0"/>
        <w:rPr>
          <w:rFonts w:cs="Arial"/>
          <w:i/>
          <w:u w:val="single"/>
        </w:rPr>
      </w:pPr>
      <w:r w:rsidRPr="0080469A">
        <w:rPr>
          <w:rFonts w:cs="Arial"/>
          <w:i/>
          <w:u w:val="single"/>
        </w:rPr>
        <w:t>Tax Base</w:t>
      </w:r>
    </w:p>
    <w:p w:rsidR="00DD2A06" w:rsidRPr="00BD7077" w:rsidRDefault="00DD2A06" w:rsidP="00DD2A06">
      <w:pPr>
        <w:spacing w:after="0"/>
        <w:rPr>
          <w:rFonts w:cs="Arial"/>
        </w:rPr>
      </w:pPr>
    </w:p>
    <w:p w:rsidR="00DD2A06" w:rsidRDefault="00DD2A06" w:rsidP="00DD2A06">
      <w:pPr>
        <w:spacing w:after="0"/>
        <w:rPr>
          <w:rFonts w:cs="Arial"/>
        </w:rPr>
      </w:pPr>
      <w:r>
        <w:rPr>
          <w:rFonts w:cs="Arial"/>
        </w:rPr>
        <w:t>Analysis of Lancashire's tax base over recent years indicates an average council tax base increase of 1.7% therefore</w:t>
      </w:r>
      <w:r w:rsidR="00EF4ACE">
        <w:rPr>
          <w:rFonts w:cs="Arial"/>
        </w:rPr>
        <w:t>, in the MTFS at Quarter 1</w:t>
      </w:r>
      <w:r>
        <w:rPr>
          <w:rFonts w:cs="Arial"/>
        </w:rPr>
        <w:t xml:space="preserve"> a</w:t>
      </w:r>
      <w:r w:rsidR="00EF4ACE">
        <w:rPr>
          <w:rFonts w:cs="Arial"/>
        </w:rPr>
        <w:t xml:space="preserve"> prudent tax</w:t>
      </w:r>
      <w:r>
        <w:rPr>
          <w:rFonts w:cs="Arial"/>
        </w:rPr>
        <w:t xml:space="preserve"> base increase of 1.5% </w:t>
      </w:r>
      <w:r w:rsidR="00EF4ACE">
        <w:rPr>
          <w:rFonts w:cs="Arial"/>
        </w:rPr>
        <w:t>was</w:t>
      </w:r>
      <w:r>
        <w:rPr>
          <w:rFonts w:cs="Arial"/>
        </w:rPr>
        <w:t xml:space="preserve"> built in to the figures.  This will continue to be discussed further with District Councils throughout the year, and amended in future MTFS reports if required. </w:t>
      </w:r>
    </w:p>
    <w:p w:rsidR="00DD2A06" w:rsidRPr="0080469A" w:rsidRDefault="00DD2A06" w:rsidP="00DD2A06">
      <w:pPr>
        <w:spacing w:after="0"/>
        <w:rPr>
          <w:rFonts w:cs="Arial"/>
        </w:rPr>
      </w:pPr>
    </w:p>
    <w:p w:rsidR="00DD2A06" w:rsidRDefault="00DD2A06" w:rsidP="00DD2A06">
      <w:pPr>
        <w:spacing w:after="0"/>
        <w:rPr>
          <w:rFonts w:cs="Arial"/>
          <w:b/>
        </w:rPr>
      </w:pPr>
      <w:r w:rsidRPr="00EB4B81">
        <w:rPr>
          <w:rFonts w:cs="Arial"/>
          <w:b/>
        </w:rPr>
        <w:t>2.</w:t>
      </w:r>
      <w:r>
        <w:rPr>
          <w:rFonts w:cs="Arial"/>
          <w:b/>
        </w:rPr>
        <w:t>4</w:t>
      </w:r>
      <w:r w:rsidRPr="00EB4B81">
        <w:rPr>
          <w:rFonts w:cs="Arial"/>
          <w:b/>
        </w:rPr>
        <w:t xml:space="preserve"> New</w:t>
      </w:r>
      <w:r w:rsidRPr="00684756">
        <w:rPr>
          <w:rFonts w:cs="Arial"/>
          <w:b/>
        </w:rPr>
        <w:t xml:space="preserve"> Homes Bonus</w:t>
      </w:r>
    </w:p>
    <w:p w:rsidR="00DD2A06" w:rsidRDefault="00DD2A06" w:rsidP="00DD2A06">
      <w:pPr>
        <w:spacing w:after="0"/>
        <w:rPr>
          <w:rFonts w:cs="Arial"/>
          <w:b/>
          <w:u w:val="single"/>
        </w:rPr>
      </w:pPr>
    </w:p>
    <w:p w:rsidR="00DD2A06" w:rsidRDefault="00DD2A06" w:rsidP="00DD2A06">
      <w:pPr>
        <w:spacing w:after="0"/>
        <w:rPr>
          <w:rFonts w:cs="Arial"/>
        </w:rPr>
      </w:pPr>
      <w:r>
        <w:rPr>
          <w:rFonts w:cs="Arial"/>
        </w:rPr>
        <w:t xml:space="preserve">As part of the provisional settlement, the Secretary of State announced that payments would be received for 5 years from 2017/18 and 4 years in future years. In addition no New Homes Bonus will be given for the first 0.4% of growth. These changes have </w:t>
      </w:r>
      <w:r w:rsidRPr="00D22F93">
        <w:rPr>
          <w:rFonts w:cs="Arial"/>
        </w:rPr>
        <w:t>been made to wholly fund the 2017/18 Adult Care Support Grant which resulted in a net gain for Lancashire overall (County Council, District Council and Unitary Councils)  benefitting by £4.033m. This is one off funding that is within the 2017/18 budget.</w:t>
      </w:r>
      <w:r>
        <w:rPr>
          <w:rFonts w:cs="Arial"/>
        </w:rPr>
        <w:t xml:space="preserve"> </w:t>
      </w:r>
    </w:p>
    <w:p w:rsidR="00DD2A06" w:rsidRDefault="00DD2A06" w:rsidP="00DD2A06">
      <w:pPr>
        <w:spacing w:after="0"/>
        <w:rPr>
          <w:rFonts w:cs="Arial"/>
        </w:rPr>
      </w:pPr>
      <w:r>
        <w:rPr>
          <w:rFonts w:cs="Arial"/>
        </w:rPr>
        <w:t xml:space="preserve"> </w:t>
      </w:r>
    </w:p>
    <w:p w:rsidR="00DD2A06" w:rsidRDefault="00DD2A06" w:rsidP="00DD2A06">
      <w:pPr>
        <w:spacing w:after="0"/>
        <w:rPr>
          <w:rFonts w:cs="Arial"/>
        </w:rPr>
      </w:pPr>
    </w:p>
    <w:p w:rsidR="00DD2A06" w:rsidRDefault="00DD2A06" w:rsidP="00DD2A06">
      <w:pPr>
        <w:spacing w:after="0"/>
        <w:rPr>
          <w:rFonts w:cs="Arial"/>
          <w:b/>
        </w:rPr>
      </w:pPr>
      <w:r w:rsidRPr="006D064B">
        <w:rPr>
          <w:rFonts w:cs="Arial"/>
          <w:b/>
        </w:rPr>
        <w:t>2.</w:t>
      </w:r>
      <w:r>
        <w:rPr>
          <w:rFonts w:cs="Arial"/>
          <w:b/>
        </w:rPr>
        <w:t>5</w:t>
      </w:r>
      <w:r w:rsidRPr="006D064B">
        <w:rPr>
          <w:rFonts w:cs="Arial"/>
          <w:b/>
        </w:rPr>
        <w:t xml:space="preserve"> </w:t>
      </w:r>
      <w:r w:rsidRPr="00EB4B81">
        <w:rPr>
          <w:rFonts w:cs="Arial"/>
          <w:b/>
        </w:rPr>
        <w:t>Better</w:t>
      </w:r>
      <w:r w:rsidRPr="00F76978">
        <w:rPr>
          <w:rFonts w:cs="Arial"/>
          <w:b/>
        </w:rPr>
        <w:t xml:space="preserve"> Care Fund</w:t>
      </w:r>
    </w:p>
    <w:p w:rsidR="00DD2A06" w:rsidRPr="00882976" w:rsidRDefault="00DD2A06" w:rsidP="00DD2A06">
      <w:pPr>
        <w:spacing w:after="0"/>
        <w:rPr>
          <w:rFonts w:cs="Arial"/>
          <w:b/>
          <w:u w:val="single"/>
        </w:rPr>
      </w:pPr>
    </w:p>
    <w:p w:rsidR="00DD2A06" w:rsidRDefault="00DD2A06" w:rsidP="00DD2A06">
      <w:pPr>
        <w:spacing w:after="0"/>
        <w:rPr>
          <w:rFonts w:cs="Arial"/>
        </w:rPr>
      </w:pPr>
      <w:r>
        <w:rPr>
          <w:rFonts w:cs="Arial"/>
        </w:rPr>
        <w:t xml:space="preserve">The provisional allocations of the Better Care Fund remain unchanged from those reported to Cabinet in September 2017. It is important to note that provisional funding information has only been provided up to 2019/20 therefore the MTFS assumes that this funding will continue into future years and/or be replaced by alternative funding at the same level. </w:t>
      </w:r>
    </w:p>
    <w:p w:rsidR="00DD2A06" w:rsidRPr="000E5472" w:rsidRDefault="00DD2A06" w:rsidP="00DD2A06">
      <w:pPr>
        <w:spacing w:after="0"/>
        <w:rPr>
          <w:rFonts w:cs="Arial"/>
          <w:b/>
        </w:rPr>
      </w:pPr>
    </w:p>
    <w:p w:rsidR="00DD2A06" w:rsidRDefault="00DD2A06" w:rsidP="00DD2A06">
      <w:pPr>
        <w:spacing w:after="0"/>
        <w:rPr>
          <w:rFonts w:cs="Arial"/>
          <w:b/>
        </w:rPr>
      </w:pPr>
      <w:r w:rsidRPr="006D064B">
        <w:rPr>
          <w:rFonts w:cs="Arial"/>
          <w:b/>
        </w:rPr>
        <w:t>2.</w:t>
      </w:r>
      <w:r>
        <w:rPr>
          <w:rFonts w:cs="Arial"/>
          <w:b/>
        </w:rPr>
        <w:t>6</w:t>
      </w:r>
      <w:r w:rsidRPr="006D064B">
        <w:rPr>
          <w:rFonts w:cs="Arial"/>
          <w:b/>
        </w:rPr>
        <w:t xml:space="preserve"> Capital Receipts</w:t>
      </w:r>
    </w:p>
    <w:p w:rsidR="00DD2A06" w:rsidRPr="006D064B" w:rsidRDefault="00DD2A06" w:rsidP="00DD2A06">
      <w:pPr>
        <w:spacing w:after="0"/>
        <w:rPr>
          <w:rFonts w:cs="Arial"/>
          <w:b/>
        </w:rPr>
      </w:pPr>
    </w:p>
    <w:p w:rsidR="00DD2A06" w:rsidRDefault="00DD2A06" w:rsidP="00DD2A06">
      <w:pPr>
        <w:tabs>
          <w:tab w:val="left" w:pos="567"/>
          <w:tab w:val="left" w:pos="1134"/>
        </w:tabs>
        <w:spacing w:after="0"/>
        <w:rPr>
          <w:rFonts w:cs="Arial"/>
        </w:rPr>
      </w:pPr>
      <w:r>
        <w:t>F</w:t>
      </w:r>
      <w:r w:rsidRPr="00326ED2">
        <w:t>rom 1st April 2016 the Government introduced the flexibility for capital receipts to be used to fund revenue expenditure which meets certain criteria. To meet the qualifying criteria the revenue expenditure needs to relate to activity which is designed to generate ongoing revenue savings or to transform a service which results in revenue savings or improvements in the quality of provision.</w:t>
      </w:r>
      <w:r>
        <w:rPr>
          <w:rFonts w:cs="Arial"/>
        </w:rPr>
        <w:t xml:space="preserve"> </w:t>
      </w:r>
    </w:p>
    <w:p w:rsidR="00DD2A06" w:rsidRDefault="00DD2A06" w:rsidP="00DD2A06">
      <w:pPr>
        <w:tabs>
          <w:tab w:val="left" w:pos="567"/>
          <w:tab w:val="left" w:pos="1134"/>
        </w:tabs>
        <w:spacing w:after="0"/>
        <w:rPr>
          <w:rFonts w:cs="Arial"/>
        </w:rPr>
      </w:pPr>
    </w:p>
    <w:p w:rsidR="00DD2A06" w:rsidRDefault="00DD2A06" w:rsidP="00DD2A06">
      <w:pPr>
        <w:tabs>
          <w:tab w:val="left" w:pos="567"/>
          <w:tab w:val="left" w:pos="1134"/>
        </w:tabs>
        <w:spacing w:after="0"/>
        <w:rPr>
          <w:rFonts w:cs="Arial"/>
        </w:rPr>
      </w:pPr>
      <w:r>
        <w:rPr>
          <w:rFonts w:cs="Arial"/>
        </w:rPr>
        <w:t xml:space="preserve">The MTFS has been updated to reflect additional capital receipts that the County Council is forecast to achieve. </w:t>
      </w:r>
      <w:r w:rsidR="00402B5E">
        <w:rPr>
          <w:rFonts w:cs="Arial"/>
        </w:rPr>
        <w:t>T</w:t>
      </w:r>
      <w:r>
        <w:rPr>
          <w:rFonts w:cs="Arial"/>
        </w:rPr>
        <w:t xml:space="preserve">he MTFS previously reported a value of £5.000m was included for </w:t>
      </w:r>
      <w:r w:rsidRPr="00F76978">
        <w:rPr>
          <w:rFonts w:cs="Arial"/>
        </w:rPr>
        <w:t>capital receipts</w:t>
      </w:r>
      <w:r w:rsidR="00EF4ACE">
        <w:rPr>
          <w:rFonts w:cs="Arial"/>
        </w:rPr>
        <w:t xml:space="preserve"> to support the revenue budget. I</w:t>
      </w:r>
      <w:r>
        <w:rPr>
          <w:rFonts w:cs="Arial"/>
        </w:rPr>
        <w:t>n this revision of the MTFS £16.025m is now included. Any amounts</w:t>
      </w:r>
      <w:r w:rsidRPr="00F76978">
        <w:rPr>
          <w:rFonts w:cs="Arial"/>
        </w:rPr>
        <w:t xml:space="preserve"> over the amount forecast can be carried over towards the following year</w:t>
      </w:r>
      <w:r>
        <w:rPr>
          <w:rFonts w:cs="Arial"/>
        </w:rPr>
        <w:t>.</w:t>
      </w:r>
    </w:p>
    <w:p w:rsidR="00DD2A06" w:rsidRDefault="00DD2A06" w:rsidP="00DD2A06">
      <w:pPr>
        <w:tabs>
          <w:tab w:val="left" w:pos="567"/>
          <w:tab w:val="left" w:pos="1134"/>
        </w:tabs>
        <w:spacing w:after="0"/>
        <w:rPr>
          <w:rFonts w:cs="Arial"/>
        </w:rPr>
      </w:pPr>
    </w:p>
    <w:p w:rsidR="00DD2A06" w:rsidRDefault="00DD2A06" w:rsidP="00DD2A06">
      <w:pPr>
        <w:tabs>
          <w:tab w:val="left" w:pos="567"/>
          <w:tab w:val="left" w:pos="1134"/>
        </w:tabs>
        <w:spacing w:after="0"/>
        <w:rPr>
          <w:rFonts w:cs="Arial"/>
          <w:b/>
        </w:rPr>
      </w:pPr>
      <w:r w:rsidRPr="00FE192B">
        <w:rPr>
          <w:rFonts w:cs="Arial"/>
          <w:b/>
        </w:rPr>
        <w:t>2.7 Improved Better Care Fund</w:t>
      </w:r>
      <w:r>
        <w:rPr>
          <w:rFonts w:cs="Arial"/>
          <w:b/>
        </w:rPr>
        <w:t xml:space="preserve"> (iBCF)</w:t>
      </w:r>
    </w:p>
    <w:p w:rsidR="00DD2A06" w:rsidRDefault="00DD2A06" w:rsidP="00DD2A06">
      <w:pPr>
        <w:tabs>
          <w:tab w:val="left" w:pos="567"/>
          <w:tab w:val="left" w:pos="1134"/>
        </w:tabs>
        <w:spacing w:after="0"/>
        <w:rPr>
          <w:rFonts w:cs="Arial"/>
          <w:b/>
        </w:rPr>
      </w:pPr>
    </w:p>
    <w:p w:rsidR="00DD2A06" w:rsidRDefault="00DD2A06" w:rsidP="00DD2A06">
      <w:pPr>
        <w:tabs>
          <w:tab w:val="left" w:pos="567"/>
          <w:tab w:val="left" w:pos="1134"/>
        </w:tabs>
        <w:spacing w:after="0"/>
        <w:rPr>
          <w:rFonts w:cs="Arial"/>
        </w:rPr>
      </w:pPr>
      <w:r w:rsidRPr="004F587F">
        <w:rPr>
          <w:rFonts w:cs="Arial"/>
        </w:rPr>
        <w:t>At the 2017/18 Budget announcement a total of £2.021bn was announced as supplementary funding to the improved Better Care Fund (iBCF). This</w:t>
      </w:r>
      <w:r w:rsidRPr="00FE192B">
        <w:rPr>
          <w:rFonts w:cs="Arial"/>
        </w:rPr>
        <w:t xml:space="preserve"> was to recognise that all local authorities face pressure on the provision of adult social care.</w:t>
      </w:r>
    </w:p>
    <w:p w:rsidR="00DD2A06" w:rsidRDefault="00DD2A06" w:rsidP="00DD2A06">
      <w:pPr>
        <w:tabs>
          <w:tab w:val="left" w:pos="567"/>
          <w:tab w:val="left" w:pos="1134"/>
        </w:tabs>
        <w:spacing w:after="0"/>
        <w:rPr>
          <w:rFonts w:cs="Arial"/>
        </w:rPr>
      </w:pPr>
    </w:p>
    <w:p w:rsidR="00DD2A06" w:rsidRPr="009D6F09" w:rsidRDefault="00DD2A06" w:rsidP="00DD2A06">
      <w:pPr>
        <w:tabs>
          <w:tab w:val="left" w:pos="567"/>
          <w:tab w:val="left" w:pos="1134"/>
        </w:tabs>
        <w:spacing w:after="0"/>
        <w:rPr>
          <w:rFonts w:cs="Arial"/>
        </w:rPr>
      </w:pPr>
      <w:r w:rsidRPr="009D6F09">
        <w:rPr>
          <w:rFonts w:cs="Arial"/>
        </w:rPr>
        <w:t>This resulted in Lancashire County Council receiving the following allocations:</w:t>
      </w:r>
    </w:p>
    <w:p w:rsidR="00DD2A06" w:rsidRDefault="00DD2A06" w:rsidP="00DD2A06">
      <w:pPr>
        <w:tabs>
          <w:tab w:val="left" w:pos="567"/>
          <w:tab w:val="left" w:pos="1134"/>
        </w:tabs>
        <w:spacing w:after="0"/>
        <w:rPr>
          <w:rFonts w:cs="Arial"/>
        </w:rPr>
      </w:pPr>
    </w:p>
    <w:p w:rsidR="00DD2A06" w:rsidRPr="004F587F" w:rsidRDefault="00DD2A06" w:rsidP="00DD2A06">
      <w:pPr>
        <w:pStyle w:val="ListParagraph"/>
        <w:numPr>
          <w:ilvl w:val="0"/>
          <w:numId w:val="32"/>
        </w:numPr>
        <w:tabs>
          <w:tab w:val="left" w:pos="567"/>
          <w:tab w:val="left" w:pos="1134"/>
        </w:tabs>
        <w:spacing w:after="0"/>
        <w:rPr>
          <w:rFonts w:cs="Arial"/>
        </w:rPr>
      </w:pPr>
      <w:r w:rsidRPr="004F587F">
        <w:rPr>
          <w:rFonts w:cs="Arial"/>
        </w:rPr>
        <w:t>2017/18 – £24.886m</w:t>
      </w:r>
    </w:p>
    <w:p w:rsidR="00DD2A06" w:rsidRPr="004F587F" w:rsidRDefault="00DD2A06" w:rsidP="00DD2A06">
      <w:pPr>
        <w:pStyle w:val="ListParagraph"/>
        <w:numPr>
          <w:ilvl w:val="0"/>
          <w:numId w:val="32"/>
        </w:numPr>
        <w:tabs>
          <w:tab w:val="left" w:pos="567"/>
          <w:tab w:val="left" w:pos="1134"/>
        </w:tabs>
        <w:spacing w:after="0"/>
        <w:rPr>
          <w:rFonts w:cs="Arial"/>
        </w:rPr>
      </w:pPr>
      <w:r w:rsidRPr="004F587F">
        <w:rPr>
          <w:rFonts w:cs="Arial"/>
        </w:rPr>
        <w:t>2018/19 - £15.736m</w:t>
      </w:r>
    </w:p>
    <w:p w:rsidR="00DD2A06" w:rsidRPr="004F587F" w:rsidRDefault="00DD2A06" w:rsidP="00DD2A06">
      <w:pPr>
        <w:pStyle w:val="ListParagraph"/>
        <w:numPr>
          <w:ilvl w:val="0"/>
          <w:numId w:val="32"/>
        </w:numPr>
        <w:tabs>
          <w:tab w:val="left" w:pos="567"/>
          <w:tab w:val="left" w:pos="1134"/>
        </w:tabs>
        <w:spacing w:after="0"/>
        <w:rPr>
          <w:rFonts w:cs="Arial"/>
        </w:rPr>
      </w:pPr>
      <w:r w:rsidRPr="004F587F">
        <w:rPr>
          <w:rFonts w:cs="Arial"/>
        </w:rPr>
        <w:t>2019/20 - £7.799m</w:t>
      </w:r>
    </w:p>
    <w:p w:rsidR="00DD2A06" w:rsidRDefault="00DD2A06" w:rsidP="00DD2A06">
      <w:pPr>
        <w:tabs>
          <w:tab w:val="left" w:pos="567"/>
          <w:tab w:val="left" w:pos="1134"/>
        </w:tabs>
        <w:spacing w:after="0"/>
        <w:rPr>
          <w:rFonts w:cs="Arial"/>
        </w:rPr>
      </w:pPr>
    </w:p>
    <w:p w:rsidR="00DD2A06" w:rsidRDefault="00DD2A06" w:rsidP="00DD2A06">
      <w:pPr>
        <w:rPr>
          <w:rFonts w:eastAsiaTheme="minorHAnsi" w:cs="Arial"/>
          <w:color w:val="auto"/>
        </w:rPr>
      </w:pPr>
      <w:r>
        <w:rPr>
          <w:rFonts w:cs="Arial"/>
        </w:rPr>
        <w:t xml:space="preserve">The grant is non-recurrent and may only be used for the purposes of meeting adult social care needs, reducing pressure on the NHS including supporting </w:t>
      </w:r>
      <w:r w:rsidR="00402B5E">
        <w:rPr>
          <w:rFonts w:cs="Arial"/>
        </w:rPr>
        <w:t>more people to be discharged fro</w:t>
      </w:r>
      <w:r>
        <w:rPr>
          <w:rFonts w:cs="Arial"/>
        </w:rPr>
        <w:t>m hospital when they are ready and in ensuring that the local social care provider market is supported.  Lancashire Health and Wellbeing Board on 7</w:t>
      </w:r>
      <w:r>
        <w:rPr>
          <w:rFonts w:cs="Arial"/>
          <w:vertAlign w:val="superscript"/>
        </w:rPr>
        <w:t>th</w:t>
      </w:r>
      <w:r>
        <w:rPr>
          <w:rFonts w:cs="Arial"/>
        </w:rPr>
        <w:t xml:space="preserve"> August 2017 agreed spending plans that were put forward with regard to the grant for 2017/18 and 2018/19.  The agreed schemes will now progress into implementation and future money matters reports will identify the financial impact of these activities.  </w:t>
      </w:r>
    </w:p>
    <w:p w:rsidR="00DD2A06" w:rsidRDefault="00DD2A06" w:rsidP="00DD2A06">
      <w:pPr>
        <w:tabs>
          <w:tab w:val="left" w:pos="567"/>
          <w:tab w:val="left" w:pos="1134"/>
        </w:tabs>
        <w:spacing w:after="0"/>
        <w:ind w:left="360" w:hanging="360"/>
        <w:rPr>
          <w:rFonts w:cs="Arial"/>
          <w:b/>
        </w:rPr>
      </w:pPr>
    </w:p>
    <w:p w:rsidR="00DD2A06" w:rsidRDefault="00DD2A06" w:rsidP="00DD2A06">
      <w:pPr>
        <w:tabs>
          <w:tab w:val="left" w:pos="567"/>
          <w:tab w:val="left" w:pos="1134"/>
        </w:tabs>
        <w:spacing w:after="0"/>
        <w:rPr>
          <w:rFonts w:cs="Arial"/>
          <w:b/>
          <w:highlight w:val="yellow"/>
        </w:rPr>
      </w:pPr>
    </w:p>
    <w:p w:rsidR="00DD2A06" w:rsidRDefault="00DD2A06" w:rsidP="00DD2A06">
      <w:pPr>
        <w:tabs>
          <w:tab w:val="left" w:pos="567"/>
          <w:tab w:val="left" w:pos="1134"/>
        </w:tabs>
        <w:spacing w:after="0"/>
        <w:rPr>
          <w:rFonts w:cs="Arial"/>
          <w:b/>
          <w:highlight w:val="yellow"/>
        </w:rPr>
      </w:pPr>
    </w:p>
    <w:p w:rsidR="00DD2A06" w:rsidRDefault="00DD2A06" w:rsidP="00DD2A06">
      <w:pPr>
        <w:tabs>
          <w:tab w:val="left" w:pos="567"/>
          <w:tab w:val="left" w:pos="1134"/>
        </w:tabs>
        <w:spacing w:after="0"/>
        <w:rPr>
          <w:rFonts w:cs="Arial"/>
          <w:b/>
          <w:highlight w:val="yellow"/>
        </w:rPr>
      </w:pPr>
    </w:p>
    <w:p w:rsidR="00DD2A06" w:rsidRDefault="00DD2A06" w:rsidP="00DD2A06">
      <w:pPr>
        <w:tabs>
          <w:tab w:val="left" w:pos="567"/>
          <w:tab w:val="left" w:pos="1134"/>
        </w:tabs>
        <w:spacing w:after="0"/>
        <w:rPr>
          <w:rFonts w:cs="Arial"/>
          <w:b/>
          <w:highlight w:val="yellow"/>
        </w:rPr>
      </w:pPr>
    </w:p>
    <w:p w:rsidR="00DD2A06" w:rsidRDefault="00DD2A06" w:rsidP="00DD2A06">
      <w:pPr>
        <w:tabs>
          <w:tab w:val="left" w:pos="567"/>
          <w:tab w:val="left" w:pos="1134"/>
        </w:tabs>
        <w:spacing w:after="0"/>
        <w:rPr>
          <w:rFonts w:cs="Arial"/>
          <w:b/>
          <w:highlight w:val="yellow"/>
        </w:rPr>
      </w:pPr>
    </w:p>
    <w:p w:rsidR="00DD2A06" w:rsidRDefault="00DD2A06" w:rsidP="00DD2A06">
      <w:pPr>
        <w:tabs>
          <w:tab w:val="left" w:pos="567"/>
          <w:tab w:val="left" w:pos="1134"/>
        </w:tabs>
        <w:spacing w:after="0"/>
        <w:rPr>
          <w:rFonts w:cs="Arial"/>
          <w:b/>
          <w:highlight w:val="yellow"/>
        </w:rPr>
      </w:pPr>
    </w:p>
    <w:p w:rsidR="00715B24" w:rsidRDefault="00715B24" w:rsidP="00DD2A06">
      <w:pPr>
        <w:tabs>
          <w:tab w:val="left" w:pos="567"/>
          <w:tab w:val="left" w:pos="1134"/>
        </w:tabs>
        <w:spacing w:after="0"/>
        <w:rPr>
          <w:rFonts w:cs="Arial"/>
          <w:b/>
          <w:highlight w:val="yellow"/>
        </w:rPr>
      </w:pPr>
    </w:p>
    <w:p w:rsidR="00715B24" w:rsidRDefault="00715B24" w:rsidP="00DD2A06">
      <w:pPr>
        <w:tabs>
          <w:tab w:val="left" w:pos="567"/>
          <w:tab w:val="left" w:pos="1134"/>
        </w:tabs>
        <w:spacing w:after="0"/>
        <w:rPr>
          <w:rFonts w:cs="Arial"/>
          <w:b/>
          <w:highlight w:val="yellow"/>
        </w:rPr>
      </w:pPr>
    </w:p>
    <w:p w:rsidR="00715B24" w:rsidRDefault="00715B24" w:rsidP="00DD2A06">
      <w:pPr>
        <w:tabs>
          <w:tab w:val="left" w:pos="567"/>
          <w:tab w:val="left" w:pos="1134"/>
        </w:tabs>
        <w:spacing w:after="0"/>
        <w:rPr>
          <w:rFonts w:cs="Arial"/>
          <w:b/>
          <w:highlight w:val="yellow"/>
        </w:rPr>
      </w:pPr>
    </w:p>
    <w:p w:rsidR="00715B24" w:rsidRDefault="00715B24" w:rsidP="00DD2A06">
      <w:pPr>
        <w:tabs>
          <w:tab w:val="left" w:pos="567"/>
          <w:tab w:val="left" w:pos="1134"/>
        </w:tabs>
        <w:spacing w:after="0"/>
        <w:rPr>
          <w:rFonts w:cs="Arial"/>
          <w:b/>
          <w:highlight w:val="yellow"/>
        </w:rPr>
      </w:pPr>
    </w:p>
    <w:p w:rsidR="00DD2A06" w:rsidRDefault="00DD2A06" w:rsidP="00DD2A06">
      <w:pPr>
        <w:tabs>
          <w:tab w:val="left" w:pos="567"/>
          <w:tab w:val="left" w:pos="1134"/>
        </w:tabs>
        <w:spacing w:after="0"/>
        <w:rPr>
          <w:rFonts w:cs="Arial"/>
          <w:b/>
        </w:rPr>
      </w:pPr>
    </w:p>
    <w:p w:rsidR="00DD2A06" w:rsidRPr="00882976" w:rsidRDefault="00DD2A06" w:rsidP="00DD2A06">
      <w:pPr>
        <w:tabs>
          <w:tab w:val="left" w:pos="567"/>
          <w:tab w:val="left" w:pos="1134"/>
        </w:tabs>
        <w:spacing w:after="0"/>
        <w:rPr>
          <w:rFonts w:cs="Arial"/>
          <w:b/>
        </w:rPr>
      </w:pPr>
      <w:r w:rsidRPr="00882976">
        <w:rPr>
          <w:rFonts w:cs="Arial"/>
          <w:b/>
        </w:rPr>
        <w:t>3. Net Spending Pressures</w:t>
      </w:r>
    </w:p>
    <w:p w:rsidR="00DD2A06" w:rsidRPr="00882976" w:rsidRDefault="00DD2A06" w:rsidP="00DD2A06">
      <w:pPr>
        <w:tabs>
          <w:tab w:val="left" w:pos="567"/>
          <w:tab w:val="left" w:pos="1134"/>
        </w:tabs>
        <w:spacing w:after="0"/>
        <w:rPr>
          <w:rFonts w:cs="Arial"/>
          <w:b/>
        </w:rPr>
      </w:pPr>
    </w:p>
    <w:p w:rsidR="00DD2A06" w:rsidRPr="00413612" w:rsidRDefault="00DD2A06" w:rsidP="00DD2A06">
      <w:pPr>
        <w:tabs>
          <w:tab w:val="left" w:pos="567"/>
          <w:tab w:val="left" w:pos="1134"/>
        </w:tabs>
        <w:spacing w:after="0"/>
        <w:rPr>
          <w:rFonts w:cs="Arial"/>
        </w:rPr>
      </w:pPr>
      <w:r w:rsidRPr="00882976">
        <w:rPr>
          <w:rFonts w:cs="Arial"/>
        </w:rPr>
        <w:t>The MTFS covers spending pressures including pay increases, contractual inflation, increased demand for services and the impact of previously agreed savings measures that are either no longer achievable at all or not to the scale or in the timeframes originally planned</w:t>
      </w:r>
      <w:r>
        <w:rPr>
          <w:rFonts w:cs="Arial"/>
          <w:b/>
        </w:rPr>
        <w:t xml:space="preserve"> </w:t>
      </w:r>
      <w:r>
        <w:rPr>
          <w:rFonts w:cs="Arial"/>
        </w:rPr>
        <w:t xml:space="preserve">and new savings proposals. </w:t>
      </w:r>
    </w:p>
    <w:p w:rsidR="00DD2A06" w:rsidRPr="00882976" w:rsidRDefault="00DD2A06" w:rsidP="00DD2A06">
      <w:pPr>
        <w:spacing w:after="0"/>
        <w:rPr>
          <w:rFonts w:cs="Arial"/>
          <w:highlight w:val="yellow"/>
        </w:rPr>
      </w:pPr>
    </w:p>
    <w:p w:rsidR="00DD2A06" w:rsidRPr="00882976" w:rsidRDefault="00DD2A06" w:rsidP="00DD2A06">
      <w:pPr>
        <w:spacing w:after="0"/>
        <w:rPr>
          <w:rFonts w:cs="Arial"/>
          <w:b/>
        </w:rPr>
      </w:pPr>
      <w:r w:rsidRPr="00882976">
        <w:rPr>
          <w:rFonts w:cs="Arial"/>
          <w:b/>
        </w:rPr>
        <w:t>3.1 Pay</w:t>
      </w:r>
      <w:r>
        <w:rPr>
          <w:rFonts w:cs="Arial"/>
          <w:b/>
        </w:rPr>
        <w:t xml:space="preserve"> and Pensions</w:t>
      </w:r>
    </w:p>
    <w:p w:rsidR="00DD2A06" w:rsidRPr="00882976" w:rsidRDefault="00DD2A06" w:rsidP="00DD2A06">
      <w:pPr>
        <w:spacing w:after="0"/>
        <w:rPr>
          <w:rFonts w:cs="Arial"/>
          <w:b/>
        </w:rPr>
      </w:pPr>
    </w:p>
    <w:p w:rsidR="00DD2A06" w:rsidRPr="00882976" w:rsidRDefault="00DD2A06" w:rsidP="00DD2A06">
      <w:pPr>
        <w:spacing w:after="0"/>
        <w:rPr>
          <w:rFonts w:cs="Arial"/>
        </w:rPr>
      </w:pPr>
      <w:r w:rsidRPr="00882976">
        <w:rPr>
          <w:rFonts w:cs="Arial"/>
        </w:rPr>
        <w:t>In the July 2015 Budget the Chancellor announced a 4 year restriction on public sector pay increases at 1% per year. This assumption was built into the current MTFS and remains unchanged, however a full review of the current staffing cohort and future savings that may impact on staffing has been included. The pay requirement also includes a provisional amount for additional holiday pay to staff</w:t>
      </w:r>
      <w:r>
        <w:rPr>
          <w:rFonts w:cs="Arial"/>
        </w:rPr>
        <w:t xml:space="preserve"> which is required as a result of a court case which determined that holiday pay should include the payment of regular allowances which therefore form part of "normal pay"</w:t>
      </w:r>
      <w:r w:rsidRPr="00882976">
        <w:rPr>
          <w:rFonts w:cs="Arial"/>
        </w:rPr>
        <w:t xml:space="preserve">. </w:t>
      </w:r>
      <w:r>
        <w:rPr>
          <w:rFonts w:cs="Arial"/>
        </w:rPr>
        <w:t>The Council's approach has yet to be determined by the Employment Committee.</w:t>
      </w:r>
    </w:p>
    <w:p w:rsidR="00DD2A06" w:rsidRPr="00882976" w:rsidRDefault="00DD2A06" w:rsidP="00DD2A06">
      <w:pPr>
        <w:spacing w:after="0"/>
        <w:rPr>
          <w:rFonts w:cs="Arial"/>
        </w:rPr>
      </w:pPr>
    </w:p>
    <w:p w:rsidR="00DD2A06" w:rsidRPr="00882976" w:rsidRDefault="00DD2A06" w:rsidP="00DD2A06">
      <w:pPr>
        <w:spacing w:after="0"/>
        <w:rPr>
          <w:rFonts w:cs="Arial"/>
        </w:rPr>
      </w:pPr>
      <w:r w:rsidRPr="00882976">
        <w:rPr>
          <w:rFonts w:cs="Arial"/>
        </w:rPr>
        <w:t xml:space="preserve">As part of the review of the MTFS a resource requirement has been built in to fund the cost of increments that will be paid to staff as they progress up their respective grades. </w:t>
      </w:r>
    </w:p>
    <w:p w:rsidR="00DD2A06" w:rsidRPr="00882976" w:rsidRDefault="00DD2A06" w:rsidP="00DD2A06">
      <w:pPr>
        <w:spacing w:after="0"/>
        <w:rPr>
          <w:rFonts w:cs="Arial"/>
        </w:rPr>
      </w:pPr>
    </w:p>
    <w:p w:rsidR="00DD2A06" w:rsidRPr="00882976" w:rsidRDefault="00DD2A06" w:rsidP="00DD2A06">
      <w:pPr>
        <w:spacing w:after="0"/>
        <w:rPr>
          <w:rFonts w:cs="Arial"/>
        </w:rPr>
      </w:pPr>
      <w:r>
        <w:rPr>
          <w:rFonts w:cs="Arial"/>
        </w:rPr>
        <w:t xml:space="preserve">In March 2017 Cabinet agreed to a re-profiling of the Council's pension contributions resulting in a saving over a 3 year period. This is reflected within the MTFS based on the latest information available </w:t>
      </w:r>
      <w:r w:rsidRPr="00882976">
        <w:rPr>
          <w:rFonts w:cs="Arial"/>
        </w:rPr>
        <w:t>in relation to the County Council's estimated contribution rate and deficit contributions</w:t>
      </w:r>
      <w:r>
        <w:rPr>
          <w:rFonts w:cs="Arial"/>
        </w:rPr>
        <w:t>.</w:t>
      </w:r>
      <w:r w:rsidRPr="00882976">
        <w:rPr>
          <w:rFonts w:cs="Arial"/>
        </w:rPr>
        <w:t xml:space="preserve"> </w:t>
      </w:r>
    </w:p>
    <w:p w:rsidR="00DD2A06" w:rsidRPr="00882976" w:rsidRDefault="00DD2A06" w:rsidP="00DD2A06">
      <w:pPr>
        <w:spacing w:after="0"/>
        <w:rPr>
          <w:rFonts w:cs="Arial"/>
        </w:rPr>
      </w:pPr>
    </w:p>
    <w:p w:rsidR="00DD2A06" w:rsidRPr="00882976" w:rsidRDefault="00DD2A06" w:rsidP="00DD2A06">
      <w:pPr>
        <w:spacing w:after="0"/>
        <w:rPr>
          <w:rFonts w:cs="Arial"/>
        </w:rPr>
      </w:pPr>
      <w:r w:rsidRPr="00882976">
        <w:rPr>
          <w:rFonts w:cs="Arial"/>
        </w:rPr>
        <w:t>The Chancellor has previously announced that an apprenticeship levy would be introduced to help fund employer apprenticeship schemes and "invest in B</w:t>
      </w:r>
      <w:r>
        <w:rPr>
          <w:rFonts w:cs="Arial"/>
        </w:rPr>
        <w:t>ritain's future." The levy was introduced</w:t>
      </w:r>
      <w:r w:rsidRPr="00882976">
        <w:rPr>
          <w:rFonts w:cs="Arial"/>
        </w:rPr>
        <w:t xml:space="preserve"> in April 2017 at a rate of 0.5% of an e</w:t>
      </w:r>
      <w:r>
        <w:rPr>
          <w:rFonts w:cs="Arial"/>
        </w:rPr>
        <w:t xml:space="preserve">mployer’s pay bill, therefore an </w:t>
      </w:r>
      <w:r w:rsidRPr="00366382">
        <w:rPr>
          <w:rFonts w:cs="Arial"/>
        </w:rPr>
        <w:t>estimate of £1.500m was been</w:t>
      </w:r>
      <w:r>
        <w:rPr>
          <w:rFonts w:cs="Arial"/>
        </w:rPr>
        <w:t xml:space="preserve"> included in the</w:t>
      </w:r>
      <w:r w:rsidRPr="00882976">
        <w:rPr>
          <w:rFonts w:cs="Arial"/>
        </w:rPr>
        <w:t xml:space="preserve"> MTFS. </w:t>
      </w:r>
      <w:r>
        <w:rPr>
          <w:rFonts w:cs="Arial"/>
        </w:rPr>
        <w:t xml:space="preserve">This was reviewed at Quarter 1 based on payments to the levy and the 2018/19 budget provision was slightly reduced. There have been no further adjustments at Quarter 2. </w:t>
      </w:r>
    </w:p>
    <w:p w:rsidR="00DD2A06" w:rsidRPr="00882976" w:rsidRDefault="00DD2A06" w:rsidP="00DD2A06">
      <w:pPr>
        <w:spacing w:after="0"/>
        <w:rPr>
          <w:rFonts w:cs="Arial"/>
        </w:rPr>
      </w:pPr>
    </w:p>
    <w:p w:rsidR="00DD2A06" w:rsidRPr="00882976" w:rsidRDefault="00DD2A06" w:rsidP="00DD2A06">
      <w:pPr>
        <w:spacing w:after="0"/>
        <w:rPr>
          <w:rFonts w:cs="Arial"/>
        </w:rPr>
      </w:pPr>
      <w:r w:rsidRPr="00882976">
        <w:rPr>
          <w:rFonts w:cs="Arial"/>
        </w:rPr>
        <w:t>The table be</w:t>
      </w:r>
      <w:r>
        <w:rPr>
          <w:rFonts w:cs="Arial"/>
        </w:rPr>
        <w:t>low presents the amounts built into the MTFS for pay and pensions</w:t>
      </w:r>
      <w:r w:rsidRPr="00882976">
        <w:rPr>
          <w:rFonts w:cs="Arial"/>
        </w:rPr>
        <w:t>:</w:t>
      </w:r>
    </w:p>
    <w:p w:rsidR="00DD2A06" w:rsidRDefault="00DD2A06" w:rsidP="00DD2A06">
      <w:pPr>
        <w:spacing w:after="0"/>
        <w:rPr>
          <w:rFonts w:cs="Arial"/>
        </w:rPr>
      </w:pPr>
    </w:p>
    <w:tbl>
      <w:tblPr>
        <w:tblStyle w:val="TableGrid8"/>
        <w:tblW w:w="8227" w:type="dxa"/>
        <w:tblLook w:val="04A0" w:firstRow="1" w:lastRow="0" w:firstColumn="1" w:lastColumn="0" w:noHBand="0" w:noVBand="1"/>
      </w:tblPr>
      <w:tblGrid>
        <w:gridCol w:w="2796"/>
        <w:gridCol w:w="1084"/>
        <w:gridCol w:w="1084"/>
        <w:gridCol w:w="1084"/>
        <w:gridCol w:w="1084"/>
        <w:gridCol w:w="1095"/>
      </w:tblGrid>
      <w:tr w:rsidR="00883109" w:rsidTr="00DD2A06">
        <w:trPr>
          <w:trHeight w:val="684"/>
        </w:trPr>
        <w:tc>
          <w:tcPr>
            <w:tcW w:w="0" w:type="auto"/>
            <w:shd w:val="clear" w:color="auto" w:fill="D9D9D9" w:themeFill="background1" w:themeFillShade="D9"/>
          </w:tcPr>
          <w:p w:rsidR="00DD2A06" w:rsidRPr="00882976" w:rsidRDefault="00DD2A06" w:rsidP="00DD2A06">
            <w:pPr>
              <w:tabs>
                <w:tab w:val="left" w:pos="567"/>
                <w:tab w:val="left" w:pos="1134"/>
              </w:tabs>
              <w:spacing w:after="0"/>
              <w:rPr>
                <w:rFonts w:cs="Arial"/>
              </w:rPr>
            </w:pPr>
          </w:p>
        </w:tc>
        <w:tc>
          <w:tcPr>
            <w:tcW w:w="0" w:type="auto"/>
            <w:shd w:val="clear" w:color="auto" w:fill="D9D9D9" w:themeFill="background1" w:themeFillShade="D9"/>
            <w:vAlign w:val="center"/>
          </w:tcPr>
          <w:p w:rsidR="00DD2A06" w:rsidRPr="00882976" w:rsidRDefault="00DD2A06" w:rsidP="00DD2A06">
            <w:pPr>
              <w:tabs>
                <w:tab w:val="left" w:pos="567"/>
                <w:tab w:val="left" w:pos="1134"/>
              </w:tabs>
              <w:spacing w:after="0"/>
              <w:jc w:val="center"/>
              <w:rPr>
                <w:rFonts w:cs="Arial"/>
                <w:b/>
              </w:rPr>
            </w:pPr>
            <w:r>
              <w:rPr>
                <w:rFonts w:cs="Arial"/>
                <w:b/>
              </w:rPr>
              <w:t>2018/19</w:t>
            </w:r>
          </w:p>
          <w:p w:rsidR="00DD2A06" w:rsidRPr="00882976" w:rsidRDefault="00DD2A06" w:rsidP="00DD2A06">
            <w:pPr>
              <w:tabs>
                <w:tab w:val="left" w:pos="567"/>
                <w:tab w:val="left" w:pos="1134"/>
              </w:tabs>
              <w:spacing w:after="0"/>
              <w:jc w:val="center"/>
              <w:rPr>
                <w:rFonts w:cs="Arial"/>
                <w:b/>
              </w:rPr>
            </w:pPr>
            <w:r w:rsidRPr="00882976">
              <w:rPr>
                <w:rFonts w:cs="Arial"/>
                <w:b/>
              </w:rPr>
              <w:t>£m</w:t>
            </w:r>
          </w:p>
        </w:tc>
        <w:tc>
          <w:tcPr>
            <w:tcW w:w="0" w:type="auto"/>
            <w:shd w:val="clear" w:color="auto" w:fill="D9D9D9" w:themeFill="background1" w:themeFillShade="D9"/>
            <w:vAlign w:val="center"/>
          </w:tcPr>
          <w:p w:rsidR="00DD2A06" w:rsidRPr="00882976" w:rsidRDefault="00DD2A06" w:rsidP="00DD2A06">
            <w:pPr>
              <w:tabs>
                <w:tab w:val="left" w:pos="567"/>
                <w:tab w:val="left" w:pos="1134"/>
              </w:tabs>
              <w:spacing w:after="0"/>
              <w:jc w:val="center"/>
              <w:rPr>
                <w:rFonts w:cs="Arial"/>
                <w:b/>
              </w:rPr>
            </w:pPr>
            <w:r w:rsidRPr="00882976">
              <w:rPr>
                <w:rFonts w:cs="Arial"/>
                <w:b/>
              </w:rPr>
              <w:t>201</w:t>
            </w:r>
            <w:r>
              <w:rPr>
                <w:rFonts w:cs="Arial"/>
                <w:b/>
              </w:rPr>
              <w:t>9/20</w:t>
            </w:r>
          </w:p>
          <w:p w:rsidR="00DD2A06" w:rsidRPr="00882976" w:rsidRDefault="00DD2A06" w:rsidP="00DD2A06">
            <w:pPr>
              <w:tabs>
                <w:tab w:val="left" w:pos="567"/>
                <w:tab w:val="left" w:pos="1134"/>
              </w:tabs>
              <w:spacing w:after="0"/>
              <w:jc w:val="center"/>
              <w:rPr>
                <w:rFonts w:cs="Arial"/>
                <w:b/>
              </w:rPr>
            </w:pPr>
            <w:r w:rsidRPr="00882976">
              <w:rPr>
                <w:rFonts w:cs="Arial"/>
                <w:b/>
              </w:rPr>
              <w:t>£m</w:t>
            </w:r>
          </w:p>
        </w:tc>
        <w:tc>
          <w:tcPr>
            <w:tcW w:w="0" w:type="auto"/>
            <w:shd w:val="clear" w:color="auto" w:fill="D9D9D9" w:themeFill="background1" w:themeFillShade="D9"/>
            <w:vAlign w:val="center"/>
          </w:tcPr>
          <w:p w:rsidR="00DD2A06" w:rsidRPr="00882976" w:rsidRDefault="00DD2A06" w:rsidP="00DD2A06">
            <w:pPr>
              <w:tabs>
                <w:tab w:val="left" w:pos="567"/>
                <w:tab w:val="left" w:pos="1134"/>
              </w:tabs>
              <w:spacing w:after="0"/>
              <w:jc w:val="center"/>
              <w:rPr>
                <w:rFonts w:cs="Arial"/>
                <w:b/>
              </w:rPr>
            </w:pPr>
            <w:r>
              <w:rPr>
                <w:rFonts w:cs="Arial"/>
                <w:b/>
              </w:rPr>
              <w:t>2020/21</w:t>
            </w:r>
          </w:p>
          <w:p w:rsidR="00DD2A06" w:rsidRPr="00882976" w:rsidRDefault="00DD2A06" w:rsidP="00DD2A06">
            <w:pPr>
              <w:tabs>
                <w:tab w:val="left" w:pos="567"/>
                <w:tab w:val="left" w:pos="1134"/>
              </w:tabs>
              <w:spacing w:after="0"/>
              <w:jc w:val="center"/>
              <w:rPr>
                <w:rFonts w:cs="Arial"/>
                <w:b/>
              </w:rPr>
            </w:pPr>
            <w:r w:rsidRPr="00882976">
              <w:rPr>
                <w:rFonts w:cs="Arial"/>
                <w:b/>
              </w:rPr>
              <w:t>£m</w:t>
            </w:r>
          </w:p>
        </w:tc>
        <w:tc>
          <w:tcPr>
            <w:tcW w:w="0" w:type="auto"/>
            <w:shd w:val="clear" w:color="auto" w:fill="D9D9D9" w:themeFill="background1" w:themeFillShade="D9"/>
            <w:vAlign w:val="center"/>
          </w:tcPr>
          <w:p w:rsidR="00DD2A06" w:rsidRPr="00882976" w:rsidRDefault="00DD2A06" w:rsidP="00DD2A06">
            <w:pPr>
              <w:tabs>
                <w:tab w:val="left" w:pos="567"/>
                <w:tab w:val="left" w:pos="1134"/>
              </w:tabs>
              <w:spacing w:after="0"/>
              <w:jc w:val="center"/>
              <w:rPr>
                <w:rFonts w:cs="Arial"/>
                <w:b/>
              </w:rPr>
            </w:pPr>
            <w:r w:rsidRPr="00882976">
              <w:rPr>
                <w:rFonts w:cs="Arial"/>
                <w:b/>
              </w:rPr>
              <w:t>202</w:t>
            </w:r>
            <w:r>
              <w:rPr>
                <w:rFonts w:cs="Arial"/>
                <w:b/>
              </w:rPr>
              <w:t>1/22</w:t>
            </w:r>
          </w:p>
          <w:p w:rsidR="00DD2A06" w:rsidRPr="00882976" w:rsidRDefault="00DD2A06" w:rsidP="00DD2A06">
            <w:pPr>
              <w:tabs>
                <w:tab w:val="left" w:pos="567"/>
                <w:tab w:val="left" w:pos="1134"/>
              </w:tabs>
              <w:spacing w:after="0"/>
              <w:jc w:val="center"/>
              <w:rPr>
                <w:rFonts w:cs="Arial"/>
                <w:b/>
              </w:rPr>
            </w:pPr>
            <w:r w:rsidRPr="00882976">
              <w:rPr>
                <w:rFonts w:cs="Arial"/>
                <w:b/>
              </w:rPr>
              <w:t>£m</w:t>
            </w:r>
          </w:p>
        </w:tc>
        <w:tc>
          <w:tcPr>
            <w:tcW w:w="1095" w:type="dxa"/>
            <w:shd w:val="clear" w:color="auto" w:fill="D9D9D9" w:themeFill="background1" w:themeFillShade="D9"/>
            <w:vAlign w:val="center"/>
          </w:tcPr>
          <w:p w:rsidR="00DD2A06" w:rsidRPr="00882976" w:rsidRDefault="00DD2A06" w:rsidP="00DD2A06">
            <w:pPr>
              <w:tabs>
                <w:tab w:val="left" w:pos="567"/>
                <w:tab w:val="left" w:pos="1134"/>
              </w:tabs>
              <w:spacing w:after="0"/>
              <w:jc w:val="center"/>
              <w:rPr>
                <w:rFonts w:cs="Arial"/>
                <w:b/>
              </w:rPr>
            </w:pPr>
            <w:r w:rsidRPr="00882976">
              <w:rPr>
                <w:rFonts w:cs="Arial"/>
                <w:b/>
              </w:rPr>
              <w:t>Total</w:t>
            </w:r>
          </w:p>
          <w:p w:rsidR="00DD2A06" w:rsidRPr="00882976" w:rsidRDefault="00DD2A06" w:rsidP="00DD2A06">
            <w:pPr>
              <w:tabs>
                <w:tab w:val="left" w:pos="567"/>
                <w:tab w:val="left" w:pos="1134"/>
              </w:tabs>
              <w:spacing w:after="0"/>
              <w:jc w:val="center"/>
              <w:rPr>
                <w:rFonts w:cs="Arial"/>
                <w:b/>
              </w:rPr>
            </w:pPr>
            <w:r w:rsidRPr="00882976">
              <w:rPr>
                <w:rFonts w:cs="Arial"/>
                <w:b/>
              </w:rPr>
              <w:t>£m</w:t>
            </w:r>
          </w:p>
        </w:tc>
      </w:tr>
      <w:tr w:rsidR="00883109" w:rsidTr="00DD2A06">
        <w:trPr>
          <w:trHeight w:val="684"/>
        </w:trPr>
        <w:tc>
          <w:tcPr>
            <w:tcW w:w="0" w:type="auto"/>
            <w:vAlign w:val="center"/>
          </w:tcPr>
          <w:p w:rsidR="00DD2A06" w:rsidRPr="00882976" w:rsidRDefault="00DD2A06" w:rsidP="00DD2A06">
            <w:pPr>
              <w:tabs>
                <w:tab w:val="left" w:pos="567"/>
                <w:tab w:val="left" w:pos="1134"/>
              </w:tabs>
              <w:spacing w:after="0"/>
              <w:jc w:val="left"/>
              <w:rPr>
                <w:rFonts w:cs="Arial"/>
                <w:b/>
              </w:rPr>
            </w:pPr>
            <w:r>
              <w:rPr>
                <w:rFonts w:cs="Arial"/>
                <w:b/>
              </w:rPr>
              <w:t>Pay and Pensions</w:t>
            </w:r>
            <w:r w:rsidRPr="00882976">
              <w:rPr>
                <w:rFonts w:cs="Arial"/>
                <w:b/>
              </w:rPr>
              <w:t xml:space="preserve"> previous MTFS</w:t>
            </w:r>
          </w:p>
        </w:tc>
        <w:tc>
          <w:tcPr>
            <w:tcW w:w="0" w:type="auto"/>
            <w:vAlign w:val="center"/>
          </w:tcPr>
          <w:p w:rsidR="00DD2A06" w:rsidRPr="00366382" w:rsidRDefault="00DD2A06" w:rsidP="00DD2A06">
            <w:pPr>
              <w:tabs>
                <w:tab w:val="left" w:pos="567"/>
                <w:tab w:val="left" w:pos="1134"/>
              </w:tabs>
              <w:spacing w:after="0"/>
              <w:jc w:val="right"/>
              <w:rPr>
                <w:rFonts w:cs="Arial"/>
              </w:rPr>
            </w:pPr>
            <w:r w:rsidRPr="00366382">
              <w:rPr>
                <w:rFonts w:cs="Arial"/>
              </w:rPr>
              <w:t>3.158</w:t>
            </w:r>
          </w:p>
        </w:tc>
        <w:tc>
          <w:tcPr>
            <w:tcW w:w="0" w:type="auto"/>
            <w:vAlign w:val="center"/>
          </w:tcPr>
          <w:p w:rsidR="00DD2A06" w:rsidRPr="00366382" w:rsidRDefault="00DD2A06" w:rsidP="00DD2A06">
            <w:pPr>
              <w:tabs>
                <w:tab w:val="left" w:pos="567"/>
                <w:tab w:val="left" w:pos="1134"/>
              </w:tabs>
              <w:spacing w:after="0"/>
              <w:jc w:val="right"/>
              <w:rPr>
                <w:rFonts w:cs="Arial"/>
              </w:rPr>
            </w:pPr>
            <w:r w:rsidRPr="00366382">
              <w:rPr>
                <w:rFonts w:cs="Arial"/>
              </w:rPr>
              <w:t>5.481</w:t>
            </w:r>
          </w:p>
        </w:tc>
        <w:tc>
          <w:tcPr>
            <w:tcW w:w="0" w:type="auto"/>
            <w:vAlign w:val="center"/>
          </w:tcPr>
          <w:p w:rsidR="00DD2A06" w:rsidRPr="00366382" w:rsidRDefault="00DD2A06" w:rsidP="00DD2A06">
            <w:pPr>
              <w:tabs>
                <w:tab w:val="left" w:pos="567"/>
                <w:tab w:val="left" w:pos="1134"/>
              </w:tabs>
              <w:spacing w:after="0"/>
              <w:jc w:val="right"/>
              <w:rPr>
                <w:rFonts w:cs="Arial"/>
              </w:rPr>
            </w:pPr>
            <w:r w:rsidRPr="00366382">
              <w:rPr>
                <w:rFonts w:cs="Arial"/>
              </w:rPr>
              <w:t>7.844</w:t>
            </w:r>
          </w:p>
        </w:tc>
        <w:tc>
          <w:tcPr>
            <w:tcW w:w="0" w:type="auto"/>
            <w:vAlign w:val="center"/>
          </w:tcPr>
          <w:p w:rsidR="00DD2A06" w:rsidRPr="00366382" w:rsidRDefault="00DD2A06" w:rsidP="00DD2A06">
            <w:pPr>
              <w:tabs>
                <w:tab w:val="left" w:pos="567"/>
                <w:tab w:val="left" w:pos="1134"/>
              </w:tabs>
              <w:spacing w:after="0"/>
              <w:jc w:val="right"/>
              <w:rPr>
                <w:rFonts w:cs="Arial"/>
              </w:rPr>
            </w:pPr>
            <w:r w:rsidRPr="00366382">
              <w:rPr>
                <w:rFonts w:cs="Arial"/>
              </w:rPr>
              <w:t>5.264</w:t>
            </w:r>
          </w:p>
        </w:tc>
        <w:tc>
          <w:tcPr>
            <w:tcW w:w="1095" w:type="dxa"/>
            <w:vAlign w:val="center"/>
          </w:tcPr>
          <w:p w:rsidR="00DD2A06" w:rsidRPr="00366382" w:rsidRDefault="00DD2A06" w:rsidP="00DD2A06">
            <w:pPr>
              <w:tabs>
                <w:tab w:val="left" w:pos="567"/>
                <w:tab w:val="left" w:pos="1134"/>
              </w:tabs>
              <w:spacing w:after="0"/>
              <w:jc w:val="right"/>
              <w:rPr>
                <w:rFonts w:cs="Arial"/>
                <w:b/>
              </w:rPr>
            </w:pPr>
            <w:r w:rsidRPr="00366382">
              <w:rPr>
                <w:rFonts w:cs="Arial"/>
                <w:b/>
              </w:rPr>
              <w:t>21.747</w:t>
            </w:r>
          </w:p>
        </w:tc>
      </w:tr>
      <w:tr w:rsidR="00883109" w:rsidTr="00DD2A06">
        <w:trPr>
          <w:trHeight w:val="401"/>
        </w:trPr>
        <w:tc>
          <w:tcPr>
            <w:tcW w:w="0" w:type="auto"/>
            <w:vAlign w:val="center"/>
          </w:tcPr>
          <w:p w:rsidR="00DD2A06" w:rsidRPr="00882976" w:rsidRDefault="00DD2A06" w:rsidP="00DD2A06">
            <w:pPr>
              <w:tabs>
                <w:tab w:val="left" w:pos="567"/>
                <w:tab w:val="left" w:pos="1134"/>
              </w:tabs>
              <w:spacing w:after="0"/>
              <w:jc w:val="left"/>
              <w:rPr>
                <w:rFonts w:cs="Arial"/>
              </w:rPr>
            </w:pPr>
          </w:p>
        </w:tc>
        <w:tc>
          <w:tcPr>
            <w:tcW w:w="0" w:type="auto"/>
            <w:vAlign w:val="center"/>
          </w:tcPr>
          <w:p w:rsidR="00DD2A06" w:rsidRPr="00366382" w:rsidRDefault="00DD2A06" w:rsidP="00DD2A06">
            <w:pPr>
              <w:tabs>
                <w:tab w:val="left" w:pos="567"/>
                <w:tab w:val="left" w:pos="1134"/>
              </w:tabs>
              <w:spacing w:after="0"/>
              <w:jc w:val="right"/>
              <w:rPr>
                <w:rFonts w:cs="Arial"/>
              </w:rPr>
            </w:pPr>
          </w:p>
        </w:tc>
        <w:tc>
          <w:tcPr>
            <w:tcW w:w="0" w:type="auto"/>
            <w:vAlign w:val="center"/>
          </w:tcPr>
          <w:p w:rsidR="00DD2A06" w:rsidRPr="00366382" w:rsidRDefault="00DD2A06" w:rsidP="00DD2A06">
            <w:pPr>
              <w:tabs>
                <w:tab w:val="left" w:pos="567"/>
                <w:tab w:val="left" w:pos="1134"/>
              </w:tabs>
              <w:spacing w:after="0"/>
              <w:jc w:val="right"/>
              <w:rPr>
                <w:rFonts w:cs="Arial"/>
              </w:rPr>
            </w:pPr>
          </w:p>
        </w:tc>
        <w:tc>
          <w:tcPr>
            <w:tcW w:w="0" w:type="auto"/>
            <w:vAlign w:val="center"/>
          </w:tcPr>
          <w:p w:rsidR="00DD2A06" w:rsidRPr="00366382" w:rsidRDefault="00DD2A06" w:rsidP="00DD2A06">
            <w:pPr>
              <w:tabs>
                <w:tab w:val="left" w:pos="567"/>
                <w:tab w:val="left" w:pos="1134"/>
              </w:tabs>
              <w:spacing w:after="0"/>
              <w:jc w:val="right"/>
              <w:rPr>
                <w:rFonts w:cs="Arial"/>
              </w:rPr>
            </w:pPr>
          </w:p>
        </w:tc>
        <w:tc>
          <w:tcPr>
            <w:tcW w:w="0" w:type="auto"/>
            <w:vAlign w:val="center"/>
          </w:tcPr>
          <w:p w:rsidR="00DD2A06" w:rsidRPr="00366382" w:rsidRDefault="00DD2A06" w:rsidP="00DD2A06">
            <w:pPr>
              <w:tabs>
                <w:tab w:val="left" w:pos="567"/>
                <w:tab w:val="left" w:pos="1134"/>
              </w:tabs>
              <w:spacing w:after="0"/>
              <w:jc w:val="right"/>
              <w:rPr>
                <w:rFonts w:cs="Arial"/>
              </w:rPr>
            </w:pPr>
          </w:p>
        </w:tc>
        <w:tc>
          <w:tcPr>
            <w:tcW w:w="1095" w:type="dxa"/>
            <w:vAlign w:val="center"/>
          </w:tcPr>
          <w:p w:rsidR="00DD2A06" w:rsidRPr="00366382" w:rsidRDefault="00DD2A06" w:rsidP="00DD2A06">
            <w:pPr>
              <w:tabs>
                <w:tab w:val="left" w:pos="567"/>
                <w:tab w:val="left" w:pos="1134"/>
              </w:tabs>
              <w:spacing w:after="0"/>
              <w:jc w:val="right"/>
              <w:rPr>
                <w:rFonts w:cs="Arial"/>
                <w:b/>
              </w:rPr>
            </w:pPr>
          </w:p>
        </w:tc>
      </w:tr>
      <w:tr w:rsidR="00883109" w:rsidTr="00DD2A06">
        <w:trPr>
          <w:trHeight w:val="684"/>
        </w:trPr>
        <w:tc>
          <w:tcPr>
            <w:tcW w:w="0" w:type="auto"/>
            <w:vAlign w:val="center"/>
          </w:tcPr>
          <w:p w:rsidR="00DD2A06" w:rsidRPr="00882976" w:rsidRDefault="00DD2A06" w:rsidP="00DD2A06">
            <w:pPr>
              <w:tabs>
                <w:tab w:val="left" w:pos="567"/>
                <w:tab w:val="left" w:pos="1134"/>
              </w:tabs>
              <w:spacing w:after="0"/>
              <w:jc w:val="left"/>
              <w:rPr>
                <w:rFonts w:cs="Arial"/>
              </w:rPr>
            </w:pPr>
            <w:r w:rsidRPr="00882976">
              <w:rPr>
                <w:rFonts w:cs="Arial"/>
              </w:rPr>
              <w:t xml:space="preserve">Revised </w:t>
            </w:r>
            <w:r>
              <w:rPr>
                <w:rFonts w:cs="Arial"/>
              </w:rPr>
              <w:t>Pay and Pension</w:t>
            </w:r>
            <w:r w:rsidRPr="00882976">
              <w:rPr>
                <w:rFonts w:cs="Arial"/>
              </w:rPr>
              <w:t xml:space="preserve"> requirements</w:t>
            </w:r>
          </w:p>
        </w:tc>
        <w:tc>
          <w:tcPr>
            <w:tcW w:w="0" w:type="auto"/>
            <w:vAlign w:val="center"/>
          </w:tcPr>
          <w:p w:rsidR="00DD2A06" w:rsidRPr="00366382" w:rsidRDefault="00DD2A06" w:rsidP="00DD2A06">
            <w:pPr>
              <w:tabs>
                <w:tab w:val="left" w:pos="567"/>
                <w:tab w:val="left" w:pos="1134"/>
              </w:tabs>
              <w:spacing w:after="0"/>
              <w:jc w:val="right"/>
              <w:rPr>
                <w:rFonts w:cs="Arial"/>
              </w:rPr>
            </w:pPr>
            <w:r>
              <w:rPr>
                <w:rFonts w:cs="Arial"/>
              </w:rPr>
              <w:t>3.207</w:t>
            </w:r>
          </w:p>
        </w:tc>
        <w:tc>
          <w:tcPr>
            <w:tcW w:w="0" w:type="auto"/>
            <w:vAlign w:val="center"/>
          </w:tcPr>
          <w:p w:rsidR="00DD2A06" w:rsidRPr="00366382" w:rsidRDefault="00DD2A06" w:rsidP="00DD2A06">
            <w:pPr>
              <w:tabs>
                <w:tab w:val="left" w:pos="567"/>
                <w:tab w:val="left" w:pos="1134"/>
              </w:tabs>
              <w:spacing w:after="0"/>
              <w:jc w:val="right"/>
              <w:rPr>
                <w:rFonts w:cs="Arial"/>
              </w:rPr>
            </w:pPr>
            <w:r>
              <w:rPr>
                <w:rFonts w:cs="Arial"/>
              </w:rPr>
              <w:t>5.581</w:t>
            </w:r>
          </w:p>
        </w:tc>
        <w:tc>
          <w:tcPr>
            <w:tcW w:w="0" w:type="auto"/>
            <w:vAlign w:val="center"/>
          </w:tcPr>
          <w:p w:rsidR="00DD2A06" w:rsidRPr="00366382" w:rsidRDefault="00DD2A06" w:rsidP="00DD2A06">
            <w:pPr>
              <w:tabs>
                <w:tab w:val="left" w:pos="567"/>
                <w:tab w:val="left" w:pos="1134"/>
              </w:tabs>
              <w:spacing w:after="0"/>
              <w:jc w:val="right"/>
              <w:rPr>
                <w:rFonts w:cs="Arial"/>
              </w:rPr>
            </w:pPr>
            <w:r>
              <w:rPr>
                <w:rFonts w:cs="Arial"/>
              </w:rPr>
              <w:t>8.202</w:t>
            </w:r>
          </w:p>
        </w:tc>
        <w:tc>
          <w:tcPr>
            <w:tcW w:w="0" w:type="auto"/>
            <w:vAlign w:val="center"/>
          </w:tcPr>
          <w:p w:rsidR="00DD2A06" w:rsidRPr="00366382" w:rsidRDefault="00DD2A06" w:rsidP="00DD2A06">
            <w:pPr>
              <w:tabs>
                <w:tab w:val="left" w:pos="567"/>
                <w:tab w:val="left" w:pos="1134"/>
              </w:tabs>
              <w:spacing w:after="0"/>
              <w:jc w:val="right"/>
              <w:rPr>
                <w:rFonts w:cs="Arial"/>
              </w:rPr>
            </w:pPr>
            <w:r>
              <w:rPr>
                <w:rFonts w:cs="Arial"/>
              </w:rPr>
              <w:t>5.921</w:t>
            </w:r>
          </w:p>
        </w:tc>
        <w:tc>
          <w:tcPr>
            <w:tcW w:w="1095" w:type="dxa"/>
            <w:vAlign w:val="center"/>
          </w:tcPr>
          <w:p w:rsidR="00DD2A06" w:rsidRPr="00366382" w:rsidRDefault="00DD2A06" w:rsidP="00DD2A06">
            <w:pPr>
              <w:tabs>
                <w:tab w:val="left" w:pos="567"/>
                <w:tab w:val="left" w:pos="1134"/>
              </w:tabs>
              <w:spacing w:after="0"/>
              <w:jc w:val="right"/>
              <w:rPr>
                <w:rFonts w:cs="Arial"/>
                <w:b/>
              </w:rPr>
            </w:pPr>
            <w:r>
              <w:rPr>
                <w:rFonts w:cs="Arial"/>
                <w:b/>
              </w:rPr>
              <w:t>22.911</w:t>
            </w:r>
          </w:p>
        </w:tc>
      </w:tr>
      <w:tr w:rsidR="00883109" w:rsidTr="00DD2A06">
        <w:trPr>
          <w:trHeight w:val="431"/>
        </w:trPr>
        <w:tc>
          <w:tcPr>
            <w:tcW w:w="0" w:type="auto"/>
            <w:vAlign w:val="center"/>
          </w:tcPr>
          <w:p w:rsidR="00DD2A06" w:rsidRPr="00882976" w:rsidRDefault="00DD2A06" w:rsidP="00DD2A06">
            <w:pPr>
              <w:tabs>
                <w:tab w:val="left" w:pos="567"/>
                <w:tab w:val="left" w:pos="1134"/>
              </w:tabs>
              <w:spacing w:after="0"/>
              <w:jc w:val="left"/>
              <w:rPr>
                <w:rFonts w:cs="Arial"/>
              </w:rPr>
            </w:pPr>
          </w:p>
        </w:tc>
        <w:tc>
          <w:tcPr>
            <w:tcW w:w="0" w:type="auto"/>
            <w:vAlign w:val="center"/>
          </w:tcPr>
          <w:p w:rsidR="00DD2A06" w:rsidRPr="00366382" w:rsidRDefault="00DD2A06" w:rsidP="00DD2A06">
            <w:pPr>
              <w:tabs>
                <w:tab w:val="left" w:pos="567"/>
                <w:tab w:val="left" w:pos="1134"/>
              </w:tabs>
              <w:spacing w:after="0"/>
              <w:jc w:val="right"/>
              <w:rPr>
                <w:rFonts w:cs="Arial"/>
              </w:rPr>
            </w:pPr>
          </w:p>
        </w:tc>
        <w:tc>
          <w:tcPr>
            <w:tcW w:w="0" w:type="auto"/>
            <w:vAlign w:val="center"/>
          </w:tcPr>
          <w:p w:rsidR="00DD2A06" w:rsidRPr="00366382" w:rsidRDefault="00DD2A06" w:rsidP="00DD2A06">
            <w:pPr>
              <w:tabs>
                <w:tab w:val="left" w:pos="567"/>
                <w:tab w:val="left" w:pos="1134"/>
              </w:tabs>
              <w:spacing w:after="0"/>
              <w:jc w:val="right"/>
              <w:rPr>
                <w:rFonts w:cs="Arial"/>
              </w:rPr>
            </w:pPr>
          </w:p>
        </w:tc>
        <w:tc>
          <w:tcPr>
            <w:tcW w:w="0" w:type="auto"/>
            <w:vAlign w:val="center"/>
          </w:tcPr>
          <w:p w:rsidR="00DD2A06" w:rsidRPr="00366382" w:rsidRDefault="00DD2A06" w:rsidP="00DD2A06">
            <w:pPr>
              <w:tabs>
                <w:tab w:val="left" w:pos="567"/>
                <w:tab w:val="left" w:pos="1134"/>
              </w:tabs>
              <w:spacing w:after="0"/>
              <w:jc w:val="right"/>
              <w:rPr>
                <w:rFonts w:cs="Arial"/>
              </w:rPr>
            </w:pPr>
          </w:p>
        </w:tc>
        <w:tc>
          <w:tcPr>
            <w:tcW w:w="0" w:type="auto"/>
            <w:vAlign w:val="center"/>
          </w:tcPr>
          <w:p w:rsidR="00DD2A06" w:rsidRPr="00366382" w:rsidRDefault="00DD2A06" w:rsidP="00DD2A06">
            <w:pPr>
              <w:tabs>
                <w:tab w:val="left" w:pos="567"/>
                <w:tab w:val="left" w:pos="1134"/>
              </w:tabs>
              <w:spacing w:after="0"/>
              <w:jc w:val="right"/>
              <w:rPr>
                <w:rFonts w:cs="Arial"/>
              </w:rPr>
            </w:pPr>
          </w:p>
        </w:tc>
        <w:tc>
          <w:tcPr>
            <w:tcW w:w="1095" w:type="dxa"/>
            <w:vAlign w:val="center"/>
          </w:tcPr>
          <w:p w:rsidR="00DD2A06" w:rsidRPr="00366382" w:rsidRDefault="00DD2A06" w:rsidP="00DD2A06">
            <w:pPr>
              <w:tabs>
                <w:tab w:val="left" w:pos="567"/>
                <w:tab w:val="left" w:pos="1134"/>
              </w:tabs>
              <w:spacing w:after="0"/>
              <w:jc w:val="right"/>
              <w:rPr>
                <w:rFonts w:cs="Arial"/>
                <w:b/>
              </w:rPr>
            </w:pPr>
          </w:p>
        </w:tc>
      </w:tr>
      <w:tr w:rsidR="00883109" w:rsidTr="00DD2A06">
        <w:trPr>
          <w:trHeight w:val="684"/>
        </w:trPr>
        <w:tc>
          <w:tcPr>
            <w:tcW w:w="0" w:type="auto"/>
            <w:vAlign w:val="center"/>
          </w:tcPr>
          <w:p w:rsidR="00DD2A06" w:rsidRPr="00882976" w:rsidRDefault="00DD2A06" w:rsidP="00DD2A06">
            <w:pPr>
              <w:tabs>
                <w:tab w:val="left" w:pos="567"/>
                <w:tab w:val="left" w:pos="1134"/>
              </w:tabs>
              <w:spacing w:after="0"/>
              <w:jc w:val="left"/>
              <w:rPr>
                <w:rFonts w:cs="Arial"/>
                <w:b/>
              </w:rPr>
            </w:pPr>
            <w:r w:rsidRPr="00882976">
              <w:rPr>
                <w:rFonts w:cs="Arial"/>
                <w:b/>
              </w:rPr>
              <w:t>Impact on Financial Gap</w:t>
            </w:r>
          </w:p>
        </w:tc>
        <w:tc>
          <w:tcPr>
            <w:tcW w:w="0" w:type="auto"/>
            <w:vAlign w:val="center"/>
          </w:tcPr>
          <w:p w:rsidR="00DD2A06" w:rsidRPr="00366382" w:rsidRDefault="00DD2A06" w:rsidP="00DD2A06">
            <w:pPr>
              <w:tabs>
                <w:tab w:val="left" w:pos="567"/>
                <w:tab w:val="left" w:pos="1134"/>
              </w:tabs>
              <w:spacing w:after="0"/>
              <w:jc w:val="right"/>
              <w:rPr>
                <w:rFonts w:cs="Arial"/>
                <w:b/>
              </w:rPr>
            </w:pPr>
            <w:r>
              <w:rPr>
                <w:rFonts w:cs="Arial"/>
                <w:b/>
              </w:rPr>
              <w:t>0.049</w:t>
            </w:r>
          </w:p>
        </w:tc>
        <w:tc>
          <w:tcPr>
            <w:tcW w:w="0" w:type="auto"/>
            <w:vAlign w:val="center"/>
          </w:tcPr>
          <w:p w:rsidR="00DD2A06" w:rsidRPr="00366382" w:rsidRDefault="00DD2A06" w:rsidP="00DD2A06">
            <w:pPr>
              <w:tabs>
                <w:tab w:val="left" w:pos="567"/>
                <w:tab w:val="left" w:pos="1134"/>
              </w:tabs>
              <w:spacing w:after="0"/>
              <w:jc w:val="right"/>
              <w:rPr>
                <w:rFonts w:cs="Arial"/>
                <w:b/>
              </w:rPr>
            </w:pPr>
            <w:r>
              <w:rPr>
                <w:rFonts w:cs="Arial"/>
                <w:b/>
              </w:rPr>
              <w:t>0.100</w:t>
            </w:r>
          </w:p>
        </w:tc>
        <w:tc>
          <w:tcPr>
            <w:tcW w:w="0" w:type="auto"/>
            <w:vAlign w:val="center"/>
          </w:tcPr>
          <w:p w:rsidR="00DD2A06" w:rsidRPr="00366382" w:rsidRDefault="00DD2A06" w:rsidP="00DD2A06">
            <w:pPr>
              <w:tabs>
                <w:tab w:val="left" w:pos="567"/>
                <w:tab w:val="left" w:pos="1134"/>
              </w:tabs>
              <w:spacing w:after="0"/>
              <w:jc w:val="right"/>
              <w:rPr>
                <w:rFonts w:cs="Arial"/>
                <w:b/>
              </w:rPr>
            </w:pPr>
            <w:r>
              <w:rPr>
                <w:rFonts w:cs="Arial"/>
                <w:b/>
              </w:rPr>
              <w:t>0.358</w:t>
            </w:r>
          </w:p>
        </w:tc>
        <w:tc>
          <w:tcPr>
            <w:tcW w:w="0" w:type="auto"/>
            <w:vAlign w:val="center"/>
          </w:tcPr>
          <w:p w:rsidR="00DD2A06" w:rsidRPr="00366382" w:rsidRDefault="00DD2A06" w:rsidP="00DD2A06">
            <w:pPr>
              <w:tabs>
                <w:tab w:val="left" w:pos="567"/>
                <w:tab w:val="left" w:pos="1134"/>
              </w:tabs>
              <w:spacing w:after="0"/>
              <w:jc w:val="right"/>
              <w:rPr>
                <w:rFonts w:cs="Arial"/>
                <w:b/>
              </w:rPr>
            </w:pPr>
            <w:r>
              <w:rPr>
                <w:rFonts w:cs="Arial"/>
                <w:b/>
              </w:rPr>
              <w:t>0.657</w:t>
            </w:r>
          </w:p>
        </w:tc>
        <w:tc>
          <w:tcPr>
            <w:tcW w:w="1095" w:type="dxa"/>
            <w:vAlign w:val="center"/>
          </w:tcPr>
          <w:p w:rsidR="00DD2A06" w:rsidRPr="00366382" w:rsidRDefault="00DD2A06" w:rsidP="00DD2A06">
            <w:pPr>
              <w:tabs>
                <w:tab w:val="left" w:pos="567"/>
                <w:tab w:val="left" w:pos="1134"/>
              </w:tabs>
              <w:spacing w:after="0"/>
              <w:jc w:val="right"/>
              <w:rPr>
                <w:rFonts w:cs="Arial"/>
                <w:b/>
              </w:rPr>
            </w:pPr>
            <w:r>
              <w:rPr>
                <w:rFonts w:cs="Arial"/>
                <w:b/>
              </w:rPr>
              <w:t>1.164</w:t>
            </w:r>
          </w:p>
        </w:tc>
      </w:tr>
    </w:tbl>
    <w:p w:rsidR="00DD2A06" w:rsidRDefault="00DD2A06" w:rsidP="00DD2A06">
      <w:pPr>
        <w:spacing w:after="0"/>
        <w:rPr>
          <w:rFonts w:cs="Arial"/>
          <w:b/>
        </w:rPr>
      </w:pPr>
    </w:p>
    <w:p w:rsidR="00DD2A06" w:rsidRDefault="00DD2A06" w:rsidP="00DD2A06">
      <w:pPr>
        <w:spacing w:after="0"/>
        <w:rPr>
          <w:rFonts w:cs="Arial"/>
          <w:b/>
        </w:rPr>
      </w:pPr>
    </w:p>
    <w:p w:rsidR="00DD2A06" w:rsidRPr="00882976" w:rsidRDefault="00DD2A06" w:rsidP="00DD2A06">
      <w:pPr>
        <w:spacing w:after="0"/>
        <w:rPr>
          <w:rFonts w:cs="Arial"/>
          <w:b/>
        </w:rPr>
      </w:pPr>
      <w:r w:rsidRPr="00882976">
        <w:rPr>
          <w:rFonts w:cs="Arial"/>
          <w:b/>
        </w:rPr>
        <w:t>3.2 Price Inflation and Cost Changes</w:t>
      </w:r>
    </w:p>
    <w:p w:rsidR="00DD2A06" w:rsidRPr="00882976" w:rsidRDefault="00DD2A06" w:rsidP="00DD2A06">
      <w:pPr>
        <w:spacing w:after="0"/>
        <w:rPr>
          <w:rFonts w:cs="Arial"/>
          <w:b/>
        </w:rPr>
      </w:pPr>
    </w:p>
    <w:p w:rsidR="00DD2A06" w:rsidRPr="00B67E26" w:rsidRDefault="00DD2A06" w:rsidP="00DD2A06">
      <w:pPr>
        <w:spacing w:after="0"/>
        <w:rPr>
          <w:rFonts w:cs="Arial"/>
        </w:rPr>
      </w:pPr>
      <w:r w:rsidRPr="00882976">
        <w:rPr>
          <w:rFonts w:cs="Arial"/>
        </w:rPr>
        <w:t>Contractual price increases represent a significant cost pressure to the County Council</w:t>
      </w:r>
      <w:r w:rsidRPr="00F013A4">
        <w:rPr>
          <w:rFonts w:cs="Arial"/>
        </w:rPr>
        <w:t xml:space="preserve">. The assumptions have been subject to regular review by services </w:t>
      </w:r>
      <w:r>
        <w:rPr>
          <w:rFonts w:cs="Arial"/>
        </w:rPr>
        <w:t>with a</w:t>
      </w:r>
      <w:r w:rsidRPr="00F013A4">
        <w:rPr>
          <w:rFonts w:cs="Arial"/>
        </w:rPr>
        <w:t xml:space="preserve"> </w:t>
      </w:r>
      <w:r>
        <w:rPr>
          <w:rFonts w:cs="Arial"/>
        </w:rPr>
        <w:t xml:space="preserve">very small </w:t>
      </w:r>
      <w:r w:rsidRPr="006C7846">
        <w:rPr>
          <w:rFonts w:cs="Arial"/>
        </w:rPr>
        <w:t>reduction of £</w:t>
      </w:r>
      <w:r>
        <w:rPr>
          <w:rFonts w:cs="Arial"/>
        </w:rPr>
        <w:t>0.030</w:t>
      </w:r>
      <w:r w:rsidRPr="006C7846">
        <w:rPr>
          <w:rFonts w:cs="Arial"/>
        </w:rPr>
        <w:t>m</w:t>
      </w:r>
      <w:r w:rsidRPr="00F013A4">
        <w:rPr>
          <w:rFonts w:cs="Arial"/>
        </w:rPr>
        <w:t xml:space="preserve"> identified</w:t>
      </w:r>
      <w:r w:rsidRPr="00882976">
        <w:rPr>
          <w:rFonts w:cs="Arial"/>
        </w:rPr>
        <w:t xml:space="preserve"> </w:t>
      </w:r>
      <w:r w:rsidRPr="00F013A4">
        <w:rPr>
          <w:rFonts w:cs="Arial"/>
        </w:rPr>
        <w:t xml:space="preserve">when comparing the values within the previous MTFS </w:t>
      </w:r>
      <w:r>
        <w:rPr>
          <w:rFonts w:cs="Arial"/>
        </w:rPr>
        <w:t xml:space="preserve">reported to Cabinet in September 2017. </w:t>
      </w:r>
    </w:p>
    <w:p w:rsidR="00DD2A06" w:rsidRPr="00882976" w:rsidRDefault="00DD2A06" w:rsidP="00DD2A06">
      <w:pPr>
        <w:tabs>
          <w:tab w:val="left" w:pos="567"/>
          <w:tab w:val="left" w:pos="1134"/>
        </w:tabs>
        <w:spacing w:after="0"/>
        <w:rPr>
          <w:rFonts w:cs="Arial"/>
          <w:highlight w:val="yellow"/>
        </w:rPr>
      </w:pPr>
    </w:p>
    <w:tbl>
      <w:tblPr>
        <w:tblStyle w:val="TableGrid"/>
        <w:tblW w:w="8197" w:type="dxa"/>
        <w:jc w:val="center"/>
        <w:tblLook w:val="04A0" w:firstRow="1" w:lastRow="0" w:firstColumn="1" w:lastColumn="0" w:noHBand="0" w:noVBand="1"/>
      </w:tblPr>
      <w:tblGrid>
        <w:gridCol w:w="2878"/>
        <w:gridCol w:w="1084"/>
        <w:gridCol w:w="1084"/>
        <w:gridCol w:w="1084"/>
        <w:gridCol w:w="1084"/>
        <w:gridCol w:w="983"/>
      </w:tblGrid>
      <w:tr w:rsidR="00883109" w:rsidTr="00DD2A06">
        <w:trPr>
          <w:trHeight w:val="684"/>
          <w:jc w:val="center"/>
        </w:trPr>
        <w:tc>
          <w:tcPr>
            <w:tcW w:w="0" w:type="auto"/>
            <w:shd w:val="clear" w:color="auto" w:fill="BFBFBF" w:themeFill="background1" w:themeFillShade="BF"/>
          </w:tcPr>
          <w:p w:rsidR="00DD2A06" w:rsidRPr="00882976" w:rsidRDefault="00DD2A06" w:rsidP="00DD2A06">
            <w:pPr>
              <w:tabs>
                <w:tab w:val="left" w:pos="567"/>
                <w:tab w:val="left" w:pos="1134"/>
              </w:tabs>
              <w:spacing w:after="0"/>
              <w:rPr>
                <w:rFonts w:cs="Arial"/>
              </w:rPr>
            </w:pPr>
          </w:p>
        </w:tc>
        <w:tc>
          <w:tcPr>
            <w:tcW w:w="0" w:type="auto"/>
            <w:shd w:val="clear" w:color="auto" w:fill="BFBFBF" w:themeFill="background1" w:themeFillShade="BF"/>
            <w:vAlign w:val="center"/>
          </w:tcPr>
          <w:p w:rsidR="00DD2A06" w:rsidRPr="00882976" w:rsidRDefault="00DD2A06" w:rsidP="00DD2A06">
            <w:pPr>
              <w:tabs>
                <w:tab w:val="left" w:pos="567"/>
                <w:tab w:val="left" w:pos="1134"/>
              </w:tabs>
              <w:spacing w:after="0"/>
              <w:jc w:val="center"/>
              <w:rPr>
                <w:rFonts w:cs="Arial"/>
                <w:b/>
              </w:rPr>
            </w:pPr>
            <w:r w:rsidRPr="00882976">
              <w:rPr>
                <w:rFonts w:cs="Arial"/>
                <w:b/>
              </w:rPr>
              <w:t>2018/19</w:t>
            </w:r>
          </w:p>
          <w:p w:rsidR="00DD2A06" w:rsidRPr="00882976" w:rsidRDefault="00DD2A06" w:rsidP="00DD2A06">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rsidR="00DD2A06" w:rsidRPr="00882976" w:rsidRDefault="00DD2A06" w:rsidP="00DD2A06">
            <w:pPr>
              <w:tabs>
                <w:tab w:val="left" w:pos="567"/>
                <w:tab w:val="left" w:pos="1134"/>
              </w:tabs>
              <w:spacing w:after="0"/>
              <w:jc w:val="center"/>
              <w:rPr>
                <w:rFonts w:cs="Arial"/>
                <w:b/>
              </w:rPr>
            </w:pPr>
            <w:r w:rsidRPr="00882976">
              <w:rPr>
                <w:rFonts w:cs="Arial"/>
                <w:b/>
              </w:rPr>
              <w:t>2019/20</w:t>
            </w:r>
          </w:p>
          <w:p w:rsidR="00DD2A06" w:rsidRPr="00882976" w:rsidRDefault="00DD2A06" w:rsidP="00DD2A06">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rsidR="00DD2A06" w:rsidRPr="00882976" w:rsidRDefault="00DD2A06" w:rsidP="00DD2A06">
            <w:pPr>
              <w:tabs>
                <w:tab w:val="left" w:pos="567"/>
                <w:tab w:val="left" w:pos="1134"/>
              </w:tabs>
              <w:spacing w:after="0"/>
              <w:jc w:val="center"/>
              <w:rPr>
                <w:rFonts w:cs="Arial"/>
                <w:b/>
              </w:rPr>
            </w:pPr>
            <w:r w:rsidRPr="00882976">
              <w:rPr>
                <w:rFonts w:cs="Arial"/>
                <w:b/>
              </w:rPr>
              <w:t>2020/21</w:t>
            </w:r>
          </w:p>
          <w:p w:rsidR="00DD2A06" w:rsidRPr="00882976" w:rsidRDefault="00DD2A06" w:rsidP="00DD2A06">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rsidR="00DD2A06" w:rsidRPr="00882976" w:rsidRDefault="00DD2A06" w:rsidP="00DD2A06">
            <w:pPr>
              <w:tabs>
                <w:tab w:val="left" w:pos="567"/>
                <w:tab w:val="left" w:pos="1134"/>
              </w:tabs>
              <w:spacing w:after="0"/>
              <w:jc w:val="center"/>
              <w:rPr>
                <w:rFonts w:cs="Arial"/>
                <w:b/>
              </w:rPr>
            </w:pPr>
            <w:r w:rsidRPr="00882976">
              <w:rPr>
                <w:rFonts w:cs="Arial"/>
                <w:b/>
              </w:rPr>
              <w:t>202</w:t>
            </w:r>
            <w:r>
              <w:rPr>
                <w:rFonts w:cs="Arial"/>
                <w:b/>
              </w:rPr>
              <w:t>1/22</w:t>
            </w:r>
          </w:p>
          <w:p w:rsidR="00DD2A06" w:rsidRPr="00882976" w:rsidRDefault="00DD2A06" w:rsidP="00DD2A06">
            <w:pPr>
              <w:tabs>
                <w:tab w:val="left" w:pos="567"/>
                <w:tab w:val="left" w:pos="1134"/>
              </w:tabs>
              <w:spacing w:after="0"/>
              <w:jc w:val="center"/>
              <w:rPr>
                <w:rFonts w:cs="Arial"/>
                <w:b/>
              </w:rPr>
            </w:pPr>
            <w:r w:rsidRPr="00882976">
              <w:rPr>
                <w:rFonts w:cs="Arial"/>
                <w:b/>
              </w:rPr>
              <w:t>£m</w:t>
            </w:r>
          </w:p>
        </w:tc>
        <w:tc>
          <w:tcPr>
            <w:tcW w:w="983" w:type="dxa"/>
            <w:shd w:val="clear" w:color="auto" w:fill="BFBFBF" w:themeFill="background1" w:themeFillShade="BF"/>
            <w:vAlign w:val="center"/>
          </w:tcPr>
          <w:p w:rsidR="00DD2A06" w:rsidRPr="00882976" w:rsidRDefault="00DD2A06" w:rsidP="00DD2A06">
            <w:pPr>
              <w:tabs>
                <w:tab w:val="left" w:pos="567"/>
                <w:tab w:val="left" w:pos="1134"/>
              </w:tabs>
              <w:spacing w:after="0"/>
              <w:jc w:val="center"/>
              <w:rPr>
                <w:rFonts w:cs="Arial"/>
                <w:b/>
              </w:rPr>
            </w:pPr>
            <w:r w:rsidRPr="00882976">
              <w:rPr>
                <w:rFonts w:cs="Arial"/>
                <w:b/>
              </w:rPr>
              <w:t>Total</w:t>
            </w:r>
          </w:p>
          <w:p w:rsidR="00DD2A06" w:rsidRPr="00882976" w:rsidRDefault="00DD2A06" w:rsidP="00DD2A06">
            <w:pPr>
              <w:tabs>
                <w:tab w:val="left" w:pos="567"/>
                <w:tab w:val="left" w:pos="1134"/>
              </w:tabs>
              <w:spacing w:after="0"/>
              <w:jc w:val="center"/>
              <w:rPr>
                <w:rFonts w:cs="Arial"/>
                <w:b/>
              </w:rPr>
            </w:pPr>
            <w:r w:rsidRPr="00882976">
              <w:rPr>
                <w:rFonts w:cs="Arial"/>
                <w:b/>
              </w:rPr>
              <w:t>£m</w:t>
            </w:r>
          </w:p>
        </w:tc>
      </w:tr>
      <w:tr w:rsidR="00883109" w:rsidTr="00DD2A06">
        <w:trPr>
          <w:trHeight w:val="684"/>
          <w:jc w:val="center"/>
        </w:trPr>
        <w:tc>
          <w:tcPr>
            <w:tcW w:w="0" w:type="auto"/>
            <w:vAlign w:val="center"/>
          </w:tcPr>
          <w:p w:rsidR="00DD2A06" w:rsidRPr="00882976" w:rsidRDefault="00DD2A06" w:rsidP="00DD2A06">
            <w:pPr>
              <w:tabs>
                <w:tab w:val="left" w:pos="567"/>
                <w:tab w:val="left" w:pos="1134"/>
              </w:tabs>
              <w:spacing w:after="0"/>
              <w:jc w:val="left"/>
              <w:rPr>
                <w:rFonts w:cs="Arial"/>
                <w:b/>
              </w:rPr>
            </w:pPr>
            <w:r w:rsidRPr="00882976">
              <w:rPr>
                <w:rFonts w:cs="Arial"/>
                <w:b/>
              </w:rPr>
              <w:t>Price inflation – previous MTFS</w:t>
            </w:r>
          </w:p>
        </w:tc>
        <w:tc>
          <w:tcPr>
            <w:tcW w:w="0" w:type="auto"/>
            <w:vAlign w:val="center"/>
          </w:tcPr>
          <w:p w:rsidR="00DD2A06" w:rsidRPr="00366382" w:rsidRDefault="00DD2A06" w:rsidP="00DD2A06">
            <w:pPr>
              <w:tabs>
                <w:tab w:val="left" w:pos="567"/>
                <w:tab w:val="left" w:pos="1134"/>
              </w:tabs>
              <w:spacing w:after="0"/>
              <w:jc w:val="right"/>
              <w:rPr>
                <w:rFonts w:cs="Arial"/>
              </w:rPr>
            </w:pPr>
            <w:r w:rsidRPr="00366382">
              <w:rPr>
                <w:rFonts w:cs="Arial"/>
              </w:rPr>
              <w:t>24.511</w:t>
            </w:r>
          </w:p>
        </w:tc>
        <w:tc>
          <w:tcPr>
            <w:tcW w:w="0" w:type="auto"/>
            <w:vAlign w:val="center"/>
          </w:tcPr>
          <w:p w:rsidR="00DD2A06" w:rsidRPr="00366382" w:rsidRDefault="00DD2A06" w:rsidP="00DD2A06">
            <w:pPr>
              <w:tabs>
                <w:tab w:val="left" w:pos="567"/>
                <w:tab w:val="left" w:pos="1134"/>
              </w:tabs>
              <w:spacing w:after="0"/>
              <w:jc w:val="right"/>
              <w:rPr>
                <w:rFonts w:cs="Arial"/>
              </w:rPr>
            </w:pPr>
            <w:r>
              <w:rPr>
                <w:rFonts w:cs="Arial"/>
              </w:rPr>
              <w:t>19.774</w:t>
            </w:r>
          </w:p>
        </w:tc>
        <w:tc>
          <w:tcPr>
            <w:tcW w:w="0" w:type="auto"/>
            <w:vAlign w:val="center"/>
          </w:tcPr>
          <w:p w:rsidR="00DD2A06" w:rsidRPr="00366382" w:rsidRDefault="00DD2A06" w:rsidP="00DD2A06">
            <w:pPr>
              <w:tabs>
                <w:tab w:val="left" w:pos="567"/>
                <w:tab w:val="left" w:pos="1134"/>
              </w:tabs>
              <w:spacing w:after="0"/>
              <w:jc w:val="right"/>
              <w:rPr>
                <w:rFonts w:cs="Arial"/>
              </w:rPr>
            </w:pPr>
            <w:r w:rsidRPr="00366382">
              <w:rPr>
                <w:rFonts w:cs="Arial"/>
              </w:rPr>
              <w:t>25.916</w:t>
            </w:r>
          </w:p>
        </w:tc>
        <w:tc>
          <w:tcPr>
            <w:tcW w:w="0" w:type="auto"/>
            <w:vAlign w:val="center"/>
          </w:tcPr>
          <w:p w:rsidR="00DD2A06" w:rsidRPr="00366382" w:rsidRDefault="00DD2A06" w:rsidP="00DD2A06">
            <w:pPr>
              <w:tabs>
                <w:tab w:val="left" w:pos="567"/>
                <w:tab w:val="left" w:pos="1134"/>
              </w:tabs>
              <w:spacing w:after="0"/>
              <w:jc w:val="right"/>
              <w:rPr>
                <w:rFonts w:cs="Arial"/>
              </w:rPr>
            </w:pPr>
            <w:r w:rsidRPr="00366382">
              <w:rPr>
                <w:rFonts w:cs="Arial"/>
              </w:rPr>
              <w:t>21.662</w:t>
            </w:r>
          </w:p>
        </w:tc>
        <w:tc>
          <w:tcPr>
            <w:tcW w:w="983" w:type="dxa"/>
            <w:vAlign w:val="center"/>
          </w:tcPr>
          <w:p w:rsidR="00DD2A06" w:rsidRPr="00366382" w:rsidRDefault="00DD2A06" w:rsidP="00DD2A06">
            <w:pPr>
              <w:tabs>
                <w:tab w:val="left" w:pos="567"/>
                <w:tab w:val="left" w:pos="1134"/>
              </w:tabs>
              <w:spacing w:after="0"/>
              <w:jc w:val="right"/>
              <w:rPr>
                <w:rFonts w:cs="Arial"/>
                <w:b/>
              </w:rPr>
            </w:pPr>
            <w:r>
              <w:rPr>
                <w:rFonts w:cs="Arial"/>
                <w:b/>
              </w:rPr>
              <w:t>91.863</w:t>
            </w:r>
          </w:p>
        </w:tc>
      </w:tr>
      <w:tr w:rsidR="00883109" w:rsidTr="00DD2A06">
        <w:trPr>
          <w:trHeight w:val="401"/>
          <w:jc w:val="center"/>
        </w:trPr>
        <w:tc>
          <w:tcPr>
            <w:tcW w:w="0" w:type="auto"/>
            <w:vAlign w:val="center"/>
          </w:tcPr>
          <w:p w:rsidR="00DD2A06" w:rsidRPr="00882976" w:rsidRDefault="00DD2A06" w:rsidP="00DD2A06">
            <w:pPr>
              <w:tabs>
                <w:tab w:val="left" w:pos="567"/>
                <w:tab w:val="left" w:pos="1134"/>
              </w:tabs>
              <w:spacing w:after="0"/>
              <w:jc w:val="left"/>
              <w:rPr>
                <w:rFonts w:cs="Arial"/>
              </w:rPr>
            </w:pPr>
          </w:p>
        </w:tc>
        <w:tc>
          <w:tcPr>
            <w:tcW w:w="0" w:type="auto"/>
            <w:vAlign w:val="center"/>
          </w:tcPr>
          <w:p w:rsidR="00DD2A06" w:rsidRPr="00015BD4" w:rsidRDefault="00DD2A06" w:rsidP="00DD2A06">
            <w:pPr>
              <w:tabs>
                <w:tab w:val="left" w:pos="567"/>
                <w:tab w:val="left" w:pos="1134"/>
              </w:tabs>
              <w:spacing w:after="0"/>
              <w:jc w:val="right"/>
              <w:rPr>
                <w:rFonts w:cs="Arial"/>
                <w:highlight w:val="cyan"/>
              </w:rPr>
            </w:pPr>
          </w:p>
        </w:tc>
        <w:tc>
          <w:tcPr>
            <w:tcW w:w="0" w:type="auto"/>
            <w:vAlign w:val="center"/>
          </w:tcPr>
          <w:p w:rsidR="00DD2A06" w:rsidRPr="00015BD4" w:rsidRDefault="00DD2A06" w:rsidP="00DD2A06">
            <w:pPr>
              <w:tabs>
                <w:tab w:val="left" w:pos="567"/>
                <w:tab w:val="left" w:pos="1134"/>
              </w:tabs>
              <w:spacing w:after="0"/>
              <w:jc w:val="right"/>
              <w:rPr>
                <w:rFonts w:cs="Arial"/>
                <w:highlight w:val="cyan"/>
              </w:rPr>
            </w:pPr>
          </w:p>
        </w:tc>
        <w:tc>
          <w:tcPr>
            <w:tcW w:w="0" w:type="auto"/>
            <w:vAlign w:val="center"/>
          </w:tcPr>
          <w:p w:rsidR="00DD2A06" w:rsidRPr="00015BD4" w:rsidRDefault="00DD2A06" w:rsidP="00DD2A06">
            <w:pPr>
              <w:tabs>
                <w:tab w:val="left" w:pos="567"/>
                <w:tab w:val="left" w:pos="1134"/>
              </w:tabs>
              <w:spacing w:after="0"/>
              <w:jc w:val="right"/>
              <w:rPr>
                <w:rFonts w:cs="Arial"/>
                <w:highlight w:val="cyan"/>
              </w:rPr>
            </w:pPr>
          </w:p>
        </w:tc>
        <w:tc>
          <w:tcPr>
            <w:tcW w:w="0" w:type="auto"/>
            <w:vAlign w:val="center"/>
          </w:tcPr>
          <w:p w:rsidR="00DD2A06" w:rsidRPr="00015BD4" w:rsidRDefault="00DD2A06" w:rsidP="00DD2A06">
            <w:pPr>
              <w:tabs>
                <w:tab w:val="left" w:pos="567"/>
                <w:tab w:val="left" w:pos="1134"/>
              </w:tabs>
              <w:spacing w:after="0"/>
              <w:jc w:val="right"/>
              <w:rPr>
                <w:rFonts w:cs="Arial"/>
                <w:highlight w:val="cyan"/>
              </w:rPr>
            </w:pPr>
          </w:p>
        </w:tc>
        <w:tc>
          <w:tcPr>
            <w:tcW w:w="983" w:type="dxa"/>
            <w:vAlign w:val="center"/>
          </w:tcPr>
          <w:p w:rsidR="00DD2A06" w:rsidRPr="00015BD4" w:rsidRDefault="00DD2A06" w:rsidP="00DD2A06">
            <w:pPr>
              <w:tabs>
                <w:tab w:val="left" w:pos="567"/>
                <w:tab w:val="left" w:pos="1134"/>
              </w:tabs>
              <w:spacing w:after="0"/>
              <w:jc w:val="right"/>
              <w:rPr>
                <w:rFonts w:cs="Arial"/>
                <w:b/>
                <w:highlight w:val="cyan"/>
              </w:rPr>
            </w:pPr>
          </w:p>
        </w:tc>
      </w:tr>
      <w:tr w:rsidR="00883109" w:rsidTr="00DD2A06">
        <w:trPr>
          <w:trHeight w:val="684"/>
          <w:jc w:val="center"/>
        </w:trPr>
        <w:tc>
          <w:tcPr>
            <w:tcW w:w="0" w:type="auto"/>
            <w:vAlign w:val="center"/>
          </w:tcPr>
          <w:p w:rsidR="00DD2A06" w:rsidRPr="00882976" w:rsidRDefault="00DD2A06" w:rsidP="00DD2A06">
            <w:pPr>
              <w:tabs>
                <w:tab w:val="left" w:pos="567"/>
                <w:tab w:val="left" w:pos="1134"/>
              </w:tabs>
              <w:spacing w:after="0"/>
              <w:jc w:val="left"/>
              <w:rPr>
                <w:rFonts w:cs="Arial"/>
              </w:rPr>
            </w:pPr>
            <w:r w:rsidRPr="00882976">
              <w:rPr>
                <w:rFonts w:cs="Arial"/>
              </w:rPr>
              <w:t>Revised price inflation requirements</w:t>
            </w:r>
          </w:p>
        </w:tc>
        <w:tc>
          <w:tcPr>
            <w:tcW w:w="0" w:type="auto"/>
            <w:vAlign w:val="center"/>
          </w:tcPr>
          <w:p w:rsidR="00DD2A06" w:rsidRPr="00366382" w:rsidRDefault="00DD2A06" w:rsidP="00DD2A06">
            <w:pPr>
              <w:tabs>
                <w:tab w:val="left" w:pos="567"/>
                <w:tab w:val="left" w:pos="1134"/>
              </w:tabs>
              <w:spacing w:after="0"/>
              <w:jc w:val="right"/>
              <w:rPr>
                <w:rFonts w:cs="Arial"/>
              </w:rPr>
            </w:pPr>
            <w:r w:rsidRPr="00366382">
              <w:rPr>
                <w:rFonts w:cs="Arial"/>
              </w:rPr>
              <w:t>24.263</w:t>
            </w:r>
          </w:p>
        </w:tc>
        <w:tc>
          <w:tcPr>
            <w:tcW w:w="0" w:type="auto"/>
            <w:vAlign w:val="center"/>
          </w:tcPr>
          <w:p w:rsidR="00DD2A06" w:rsidRPr="00366382" w:rsidRDefault="00DD2A06" w:rsidP="00DD2A06">
            <w:pPr>
              <w:tabs>
                <w:tab w:val="left" w:pos="567"/>
                <w:tab w:val="left" w:pos="1134"/>
              </w:tabs>
              <w:spacing w:after="0"/>
              <w:jc w:val="right"/>
              <w:rPr>
                <w:rFonts w:cs="Arial"/>
              </w:rPr>
            </w:pPr>
            <w:r w:rsidRPr="00366382">
              <w:rPr>
                <w:rFonts w:cs="Arial"/>
              </w:rPr>
              <w:t>19.848</w:t>
            </w:r>
          </w:p>
        </w:tc>
        <w:tc>
          <w:tcPr>
            <w:tcW w:w="0" w:type="auto"/>
            <w:vAlign w:val="center"/>
          </w:tcPr>
          <w:p w:rsidR="00DD2A06" w:rsidRPr="00366382" w:rsidRDefault="00DD2A06" w:rsidP="00DD2A06">
            <w:pPr>
              <w:tabs>
                <w:tab w:val="left" w:pos="567"/>
                <w:tab w:val="left" w:pos="1134"/>
              </w:tabs>
              <w:spacing w:after="0"/>
              <w:jc w:val="right"/>
              <w:rPr>
                <w:rFonts w:cs="Arial"/>
              </w:rPr>
            </w:pPr>
            <w:r w:rsidRPr="00366382">
              <w:rPr>
                <w:rFonts w:cs="Arial"/>
              </w:rPr>
              <w:t>25.992</w:t>
            </w:r>
          </w:p>
        </w:tc>
        <w:tc>
          <w:tcPr>
            <w:tcW w:w="0" w:type="auto"/>
            <w:vAlign w:val="center"/>
          </w:tcPr>
          <w:p w:rsidR="00DD2A06" w:rsidRPr="00366382" w:rsidRDefault="00DD2A06" w:rsidP="00DD2A06">
            <w:pPr>
              <w:tabs>
                <w:tab w:val="left" w:pos="567"/>
                <w:tab w:val="left" w:pos="1134"/>
              </w:tabs>
              <w:spacing w:after="0"/>
              <w:jc w:val="right"/>
              <w:rPr>
                <w:rFonts w:cs="Arial"/>
              </w:rPr>
            </w:pPr>
            <w:r w:rsidRPr="00366382">
              <w:rPr>
                <w:rFonts w:cs="Arial"/>
              </w:rPr>
              <w:t>21.730</w:t>
            </w:r>
          </w:p>
        </w:tc>
        <w:tc>
          <w:tcPr>
            <w:tcW w:w="983" w:type="dxa"/>
            <w:vAlign w:val="center"/>
          </w:tcPr>
          <w:p w:rsidR="00DD2A06" w:rsidRPr="00366382" w:rsidRDefault="00DD2A06" w:rsidP="00DD2A06">
            <w:pPr>
              <w:tabs>
                <w:tab w:val="left" w:pos="567"/>
                <w:tab w:val="left" w:pos="1134"/>
              </w:tabs>
              <w:spacing w:after="0"/>
              <w:jc w:val="right"/>
              <w:rPr>
                <w:rFonts w:cs="Arial"/>
                <w:b/>
              </w:rPr>
            </w:pPr>
            <w:r w:rsidRPr="00366382">
              <w:rPr>
                <w:rFonts w:cs="Arial"/>
                <w:b/>
              </w:rPr>
              <w:t>91.833</w:t>
            </w:r>
          </w:p>
        </w:tc>
      </w:tr>
      <w:tr w:rsidR="00883109" w:rsidTr="00DD2A06">
        <w:trPr>
          <w:trHeight w:val="431"/>
          <w:jc w:val="center"/>
        </w:trPr>
        <w:tc>
          <w:tcPr>
            <w:tcW w:w="0" w:type="auto"/>
            <w:vAlign w:val="center"/>
          </w:tcPr>
          <w:p w:rsidR="00DD2A06" w:rsidRPr="00882976" w:rsidRDefault="00DD2A06" w:rsidP="00DD2A06">
            <w:pPr>
              <w:tabs>
                <w:tab w:val="left" w:pos="567"/>
                <w:tab w:val="left" w:pos="1134"/>
              </w:tabs>
              <w:spacing w:after="0"/>
              <w:jc w:val="left"/>
              <w:rPr>
                <w:rFonts w:cs="Arial"/>
              </w:rPr>
            </w:pPr>
          </w:p>
        </w:tc>
        <w:tc>
          <w:tcPr>
            <w:tcW w:w="0" w:type="auto"/>
            <w:vAlign w:val="center"/>
          </w:tcPr>
          <w:p w:rsidR="00DD2A06" w:rsidRPr="00366382" w:rsidRDefault="00DD2A06" w:rsidP="00DD2A06">
            <w:pPr>
              <w:tabs>
                <w:tab w:val="left" w:pos="567"/>
                <w:tab w:val="left" w:pos="1134"/>
              </w:tabs>
              <w:spacing w:after="0"/>
              <w:jc w:val="right"/>
              <w:rPr>
                <w:rFonts w:cs="Arial"/>
              </w:rPr>
            </w:pPr>
          </w:p>
        </w:tc>
        <w:tc>
          <w:tcPr>
            <w:tcW w:w="0" w:type="auto"/>
            <w:vAlign w:val="center"/>
          </w:tcPr>
          <w:p w:rsidR="00DD2A06" w:rsidRPr="00366382" w:rsidRDefault="00DD2A06" w:rsidP="00DD2A06">
            <w:pPr>
              <w:tabs>
                <w:tab w:val="left" w:pos="567"/>
                <w:tab w:val="left" w:pos="1134"/>
              </w:tabs>
              <w:spacing w:after="0"/>
              <w:jc w:val="right"/>
              <w:rPr>
                <w:rFonts w:cs="Arial"/>
              </w:rPr>
            </w:pPr>
          </w:p>
        </w:tc>
        <w:tc>
          <w:tcPr>
            <w:tcW w:w="0" w:type="auto"/>
            <w:vAlign w:val="center"/>
          </w:tcPr>
          <w:p w:rsidR="00DD2A06" w:rsidRPr="00366382" w:rsidRDefault="00DD2A06" w:rsidP="00DD2A06">
            <w:pPr>
              <w:tabs>
                <w:tab w:val="left" w:pos="567"/>
                <w:tab w:val="left" w:pos="1134"/>
              </w:tabs>
              <w:spacing w:after="0"/>
              <w:jc w:val="right"/>
              <w:rPr>
                <w:rFonts w:cs="Arial"/>
              </w:rPr>
            </w:pPr>
          </w:p>
        </w:tc>
        <w:tc>
          <w:tcPr>
            <w:tcW w:w="0" w:type="auto"/>
            <w:vAlign w:val="center"/>
          </w:tcPr>
          <w:p w:rsidR="00DD2A06" w:rsidRPr="00366382" w:rsidRDefault="00DD2A06" w:rsidP="00DD2A06">
            <w:pPr>
              <w:tabs>
                <w:tab w:val="left" w:pos="567"/>
                <w:tab w:val="left" w:pos="1134"/>
              </w:tabs>
              <w:spacing w:after="0"/>
              <w:jc w:val="right"/>
              <w:rPr>
                <w:rFonts w:cs="Arial"/>
              </w:rPr>
            </w:pPr>
          </w:p>
        </w:tc>
        <w:tc>
          <w:tcPr>
            <w:tcW w:w="983" w:type="dxa"/>
            <w:vAlign w:val="center"/>
          </w:tcPr>
          <w:p w:rsidR="00DD2A06" w:rsidRPr="00366382" w:rsidRDefault="00DD2A06" w:rsidP="00DD2A06">
            <w:pPr>
              <w:tabs>
                <w:tab w:val="left" w:pos="567"/>
                <w:tab w:val="left" w:pos="1134"/>
              </w:tabs>
              <w:spacing w:after="0"/>
              <w:jc w:val="right"/>
              <w:rPr>
                <w:rFonts w:cs="Arial"/>
                <w:b/>
              </w:rPr>
            </w:pPr>
          </w:p>
        </w:tc>
      </w:tr>
      <w:tr w:rsidR="00883109" w:rsidTr="00DD2A06">
        <w:trPr>
          <w:trHeight w:val="684"/>
          <w:jc w:val="center"/>
        </w:trPr>
        <w:tc>
          <w:tcPr>
            <w:tcW w:w="0" w:type="auto"/>
            <w:vAlign w:val="center"/>
          </w:tcPr>
          <w:p w:rsidR="00DD2A06" w:rsidRPr="00882976" w:rsidRDefault="00DD2A06" w:rsidP="00DD2A06">
            <w:pPr>
              <w:tabs>
                <w:tab w:val="left" w:pos="567"/>
                <w:tab w:val="left" w:pos="1134"/>
              </w:tabs>
              <w:spacing w:after="0"/>
              <w:jc w:val="left"/>
              <w:rPr>
                <w:rFonts w:cs="Arial"/>
                <w:b/>
              </w:rPr>
            </w:pPr>
            <w:r w:rsidRPr="00882976">
              <w:rPr>
                <w:rFonts w:cs="Arial"/>
                <w:b/>
              </w:rPr>
              <w:t>Impact on Financial Gap</w:t>
            </w:r>
          </w:p>
        </w:tc>
        <w:tc>
          <w:tcPr>
            <w:tcW w:w="0" w:type="auto"/>
            <w:vAlign w:val="center"/>
          </w:tcPr>
          <w:p w:rsidR="00DD2A06" w:rsidRPr="00366382" w:rsidRDefault="00DD2A06" w:rsidP="00DD2A06">
            <w:pPr>
              <w:tabs>
                <w:tab w:val="left" w:pos="567"/>
                <w:tab w:val="left" w:pos="1134"/>
              </w:tabs>
              <w:spacing w:after="0"/>
              <w:jc w:val="right"/>
              <w:rPr>
                <w:rFonts w:cs="Arial"/>
                <w:b/>
              </w:rPr>
            </w:pPr>
            <w:r>
              <w:rPr>
                <w:rFonts w:cs="Arial"/>
                <w:b/>
              </w:rPr>
              <w:t>-0.248</w:t>
            </w:r>
          </w:p>
        </w:tc>
        <w:tc>
          <w:tcPr>
            <w:tcW w:w="0" w:type="auto"/>
            <w:vAlign w:val="center"/>
          </w:tcPr>
          <w:p w:rsidR="00DD2A06" w:rsidRPr="00366382" w:rsidRDefault="00DD2A06" w:rsidP="00DD2A06">
            <w:pPr>
              <w:tabs>
                <w:tab w:val="left" w:pos="567"/>
                <w:tab w:val="left" w:pos="1134"/>
              </w:tabs>
              <w:spacing w:after="0"/>
              <w:jc w:val="right"/>
              <w:rPr>
                <w:rFonts w:cs="Arial"/>
                <w:b/>
              </w:rPr>
            </w:pPr>
            <w:r>
              <w:rPr>
                <w:rFonts w:cs="Arial"/>
                <w:b/>
              </w:rPr>
              <w:t>0.074</w:t>
            </w:r>
          </w:p>
        </w:tc>
        <w:tc>
          <w:tcPr>
            <w:tcW w:w="0" w:type="auto"/>
            <w:vAlign w:val="center"/>
          </w:tcPr>
          <w:p w:rsidR="00DD2A06" w:rsidRPr="00366382" w:rsidRDefault="00DD2A06" w:rsidP="00DD2A06">
            <w:pPr>
              <w:tabs>
                <w:tab w:val="left" w:pos="567"/>
                <w:tab w:val="left" w:pos="1134"/>
              </w:tabs>
              <w:spacing w:after="0"/>
              <w:jc w:val="right"/>
              <w:rPr>
                <w:rFonts w:cs="Arial"/>
                <w:b/>
              </w:rPr>
            </w:pPr>
            <w:r>
              <w:rPr>
                <w:rFonts w:cs="Arial"/>
                <w:b/>
              </w:rPr>
              <w:t>0.076</w:t>
            </w:r>
          </w:p>
        </w:tc>
        <w:tc>
          <w:tcPr>
            <w:tcW w:w="0" w:type="auto"/>
            <w:vAlign w:val="center"/>
          </w:tcPr>
          <w:p w:rsidR="00DD2A06" w:rsidRPr="00366382" w:rsidRDefault="00DD2A06" w:rsidP="00DD2A06">
            <w:pPr>
              <w:tabs>
                <w:tab w:val="left" w:pos="567"/>
                <w:tab w:val="left" w:pos="1134"/>
              </w:tabs>
              <w:spacing w:after="0"/>
              <w:jc w:val="right"/>
              <w:rPr>
                <w:rFonts w:cs="Arial"/>
                <w:b/>
              </w:rPr>
            </w:pPr>
            <w:r>
              <w:rPr>
                <w:rFonts w:cs="Arial"/>
                <w:b/>
              </w:rPr>
              <w:t>0.068</w:t>
            </w:r>
          </w:p>
        </w:tc>
        <w:tc>
          <w:tcPr>
            <w:tcW w:w="983" w:type="dxa"/>
            <w:vAlign w:val="center"/>
          </w:tcPr>
          <w:p w:rsidR="00DD2A06" w:rsidRPr="00366382" w:rsidRDefault="00DD2A06" w:rsidP="00DD2A06">
            <w:pPr>
              <w:tabs>
                <w:tab w:val="left" w:pos="567"/>
                <w:tab w:val="left" w:pos="1134"/>
              </w:tabs>
              <w:spacing w:after="0"/>
              <w:jc w:val="right"/>
              <w:rPr>
                <w:rFonts w:cs="Arial"/>
                <w:b/>
              </w:rPr>
            </w:pPr>
            <w:r>
              <w:rPr>
                <w:rFonts w:cs="Arial"/>
                <w:b/>
              </w:rPr>
              <w:t>-0.030</w:t>
            </w:r>
          </w:p>
        </w:tc>
      </w:tr>
    </w:tbl>
    <w:p w:rsidR="00DD2A06" w:rsidRPr="00882976" w:rsidRDefault="00DD2A06" w:rsidP="00DD2A06">
      <w:pPr>
        <w:spacing w:after="0"/>
        <w:rPr>
          <w:rFonts w:cs="Arial"/>
        </w:rPr>
      </w:pPr>
    </w:p>
    <w:p w:rsidR="00DD2A06" w:rsidRPr="00882976" w:rsidRDefault="00DD2A06" w:rsidP="00DD2A06">
      <w:pPr>
        <w:spacing w:after="0"/>
        <w:rPr>
          <w:rFonts w:cs="Arial"/>
        </w:rPr>
      </w:pPr>
      <w:r w:rsidRPr="00882976">
        <w:rPr>
          <w:rFonts w:cs="Arial"/>
        </w:rPr>
        <w:t>Some of the key areas of price pressure are:</w:t>
      </w:r>
    </w:p>
    <w:p w:rsidR="00DD2A06" w:rsidRPr="00882976" w:rsidRDefault="00DD2A06" w:rsidP="00DD2A06">
      <w:pPr>
        <w:spacing w:after="0"/>
        <w:rPr>
          <w:rFonts w:cs="Arial"/>
        </w:rPr>
      </w:pPr>
    </w:p>
    <w:p w:rsidR="00DD2A06" w:rsidRDefault="00DD2A06" w:rsidP="00DD2A06">
      <w:pPr>
        <w:pStyle w:val="ListParagraph"/>
        <w:numPr>
          <w:ilvl w:val="0"/>
          <w:numId w:val="29"/>
        </w:numPr>
        <w:spacing w:after="0"/>
        <w:rPr>
          <w:rFonts w:cs="Arial"/>
        </w:rPr>
      </w:pPr>
      <w:r w:rsidRPr="00882976">
        <w:rPr>
          <w:rFonts w:cs="Arial"/>
        </w:rPr>
        <w:t xml:space="preserve">A significant part of the price pressures shown in the above table relate to inflationary pressures within Adults Services. This is calculated using </w:t>
      </w:r>
      <w:r>
        <w:rPr>
          <w:rFonts w:cs="Arial"/>
        </w:rPr>
        <w:t xml:space="preserve">the best estimates of </w:t>
      </w:r>
      <w:r w:rsidRPr="00882976">
        <w:rPr>
          <w:rFonts w:cs="Arial"/>
        </w:rPr>
        <w:t>inflation</w:t>
      </w:r>
      <w:r>
        <w:rPr>
          <w:rFonts w:cs="Arial"/>
        </w:rPr>
        <w:t>ary levels that are forecast</w:t>
      </w:r>
      <w:r w:rsidRPr="00882976">
        <w:rPr>
          <w:rFonts w:cs="Arial"/>
        </w:rPr>
        <w:t xml:space="preserve"> within social care</w:t>
      </w:r>
      <w:r>
        <w:rPr>
          <w:rFonts w:cs="Arial"/>
        </w:rPr>
        <w:t xml:space="preserve"> based on </w:t>
      </w:r>
      <w:r w:rsidRPr="006C7846">
        <w:rPr>
          <w:rFonts w:cs="Arial"/>
        </w:rPr>
        <w:t>2016/17 fee increases that were agreed. It is forecast that a budget requirement of £64.122m over the MTFS period is required for payments to external providers of social care</w:t>
      </w:r>
      <w:r w:rsidRPr="00882976">
        <w:rPr>
          <w:rFonts w:cs="Arial"/>
        </w:rPr>
        <w:t xml:space="preserve"> and it is important that the County Council keeps up with increases in the price of resources for suppliers to ensure the required service provision is delivered. </w:t>
      </w:r>
    </w:p>
    <w:p w:rsidR="00DD2A06" w:rsidRDefault="00DD2A06" w:rsidP="00DD2A06">
      <w:pPr>
        <w:spacing w:after="0"/>
        <w:ind w:left="720"/>
        <w:rPr>
          <w:rFonts w:cs="Arial"/>
        </w:rPr>
      </w:pPr>
    </w:p>
    <w:p w:rsidR="00DD2A06" w:rsidRPr="00016513" w:rsidRDefault="00DD2A06" w:rsidP="00DD2A06">
      <w:pPr>
        <w:spacing w:after="0"/>
        <w:ind w:left="720"/>
        <w:rPr>
          <w:rFonts w:cs="Arial"/>
        </w:rPr>
      </w:pPr>
      <w:r>
        <w:rPr>
          <w:rFonts w:cs="Arial"/>
        </w:rPr>
        <w:t>The price/inflationary increases for Adults Services incorporates the National Living Wage as this is generally included within price increases that the service experiences.</w:t>
      </w:r>
    </w:p>
    <w:p w:rsidR="00DD2A06" w:rsidRPr="00882976" w:rsidRDefault="00DD2A06" w:rsidP="00DD2A06">
      <w:pPr>
        <w:pStyle w:val="ListParagraph"/>
        <w:spacing w:after="0"/>
        <w:rPr>
          <w:rFonts w:cs="Arial"/>
        </w:rPr>
      </w:pPr>
    </w:p>
    <w:p w:rsidR="00DD2A06" w:rsidRPr="006C7846" w:rsidRDefault="00DD2A06" w:rsidP="00DD2A06">
      <w:pPr>
        <w:pStyle w:val="ListParagraph"/>
        <w:spacing w:after="0"/>
        <w:rPr>
          <w:rFonts w:cs="Arial"/>
        </w:rPr>
      </w:pPr>
      <w:r w:rsidRPr="006C7846">
        <w:rPr>
          <w:rFonts w:cs="Arial"/>
        </w:rPr>
        <w:t>The price inflation included in the MTFS for Adults Service is profiled as follows:</w:t>
      </w:r>
    </w:p>
    <w:p w:rsidR="00DD2A06" w:rsidRPr="006C7846" w:rsidRDefault="00DD2A06" w:rsidP="00DD2A06">
      <w:pPr>
        <w:pStyle w:val="ListParagraph"/>
        <w:numPr>
          <w:ilvl w:val="1"/>
          <w:numId w:val="29"/>
        </w:numPr>
        <w:spacing w:after="0"/>
        <w:jc w:val="left"/>
        <w:rPr>
          <w:rFonts w:cs="Arial"/>
        </w:rPr>
      </w:pPr>
      <w:r w:rsidRPr="006C7846">
        <w:rPr>
          <w:rFonts w:cs="Arial"/>
        </w:rPr>
        <w:t>2018/19 - £15.723m</w:t>
      </w:r>
    </w:p>
    <w:p w:rsidR="00DD2A06" w:rsidRPr="006C7846" w:rsidRDefault="00DD2A06" w:rsidP="00DD2A06">
      <w:pPr>
        <w:pStyle w:val="ListParagraph"/>
        <w:numPr>
          <w:ilvl w:val="1"/>
          <w:numId w:val="29"/>
        </w:numPr>
        <w:spacing w:after="0"/>
        <w:jc w:val="left"/>
        <w:rPr>
          <w:rFonts w:cs="Arial"/>
        </w:rPr>
      </w:pPr>
      <w:r w:rsidRPr="006C7846">
        <w:rPr>
          <w:rFonts w:cs="Arial"/>
        </w:rPr>
        <w:t>2019/20 - £16.161m</w:t>
      </w:r>
    </w:p>
    <w:p w:rsidR="00DD2A06" w:rsidRPr="006C7846" w:rsidRDefault="00DD2A06" w:rsidP="00DD2A06">
      <w:pPr>
        <w:pStyle w:val="ListParagraph"/>
        <w:numPr>
          <w:ilvl w:val="1"/>
          <w:numId w:val="29"/>
        </w:numPr>
        <w:spacing w:after="0"/>
        <w:jc w:val="left"/>
        <w:rPr>
          <w:rFonts w:cs="Arial"/>
        </w:rPr>
      </w:pPr>
      <w:r w:rsidRPr="006C7846">
        <w:rPr>
          <w:rFonts w:cs="Arial"/>
        </w:rPr>
        <w:t>2020/21 - £18.442m</w:t>
      </w:r>
    </w:p>
    <w:p w:rsidR="00DD2A06" w:rsidRPr="006C7846" w:rsidRDefault="00DD2A06" w:rsidP="00DD2A06">
      <w:pPr>
        <w:pStyle w:val="ListParagraph"/>
        <w:numPr>
          <w:ilvl w:val="1"/>
          <w:numId w:val="29"/>
        </w:numPr>
        <w:spacing w:after="0"/>
        <w:jc w:val="left"/>
        <w:rPr>
          <w:rFonts w:cs="Arial"/>
        </w:rPr>
      </w:pPr>
      <w:r w:rsidRPr="006C7846">
        <w:rPr>
          <w:rFonts w:cs="Arial"/>
        </w:rPr>
        <w:t>2021/22 - £13.796m</w:t>
      </w:r>
    </w:p>
    <w:p w:rsidR="00DD2A06" w:rsidRPr="00882976" w:rsidRDefault="00DD2A06" w:rsidP="00DD2A06">
      <w:pPr>
        <w:pStyle w:val="ListParagraph"/>
        <w:spacing w:after="0"/>
        <w:rPr>
          <w:rFonts w:cs="Arial"/>
        </w:rPr>
      </w:pPr>
    </w:p>
    <w:p w:rsidR="00DD2A06" w:rsidRPr="00882976" w:rsidRDefault="00DD2A06" w:rsidP="00DD2A06">
      <w:pPr>
        <w:pStyle w:val="ListParagraph"/>
        <w:spacing w:after="0"/>
        <w:rPr>
          <w:rFonts w:cs="Arial"/>
        </w:rPr>
      </w:pPr>
      <w:r>
        <w:rPr>
          <w:rFonts w:cs="Arial"/>
        </w:rPr>
        <w:t xml:space="preserve">There are no changes to the forecast price increases across Adults Services at Quarter 2. </w:t>
      </w:r>
    </w:p>
    <w:p w:rsidR="00DD2A06" w:rsidRPr="00882976" w:rsidRDefault="00DD2A06" w:rsidP="00DD2A06">
      <w:pPr>
        <w:spacing w:after="0"/>
        <w:rPr>
          <w:rFonts w:cs="Arial"/>
        </w:rPr>
      </w:pPr>
    </w:p>
    <w:p w:rsidR="00DD2A06" w:rsidRPr="00882976" w:rsidRDefault="00DD2A06" w:rsidP="007A5396">
      <w:pPr>
        <w:pStyle w:val="ListParagraph"/>
        <w:numPr>
          <w:ilvl w:val="0"/>
          <w:numId w:val="38"/>
        </w:numPr>
        <w:spacing w:after="0"/>
        <w:rPr>
          <w:rFonts w:cs="Arial"/>
        </w:rPr>
      </w:pPr>
      <w:r w:rsidRPr="00296C48">
        <w:rPr>
          <w:rFonts w:cs="Arial"/>
        </w:rPr>
        <w:t xml:space="preserve">Waste Disposal continues to require significant budget to meet inflationary </w:t>
      </w:r>
      <w:r w:rsidRPr="006C7846">
        <w:rPr>
          <w:rFonts w:cs="Arial"/>
        </w:rPr>
        <w:t>commitments over the next four years. In total the budget requirement for the service is £</w:t>
      </w:r>
      <w:r>
        <w:rPr>
          <w:rFonts w:cs="Arial"/>
        </w:rPr>
        <w:t>6.946</w:t>
      </w:r>
      <w:r w:rsidRPr="006C7846">
        <w:rPr>
          <w:rFonts w:cs="Arial"/>
        </w:rPr>
        <w:t xml:space="preserve">m. </w:t>
      </w:r>
      <w:r>
        <w:rPr>
          <w:rFonts w:cs="Arial"/>
        </w:rPr>
        <w:t xml:space="preserve">There are no changes to the forecast price increases across Waste Services at Quarter 2. </w:t>
      </w:r>
    </w:p>
    <w:p w:rsidR="00DD2A06" w:rsidRPr="007A5396" w:rsidRDefault="00DD2A06" w:rsidP="007A5396">
      <w:pPr>
        <w:spacing w:after="0"/>
        <w:rPr>
          <w:rFonts w:cs="Arial"/>
        </w:rPr>
      </w:pPr>
    </w:p>
    <w:p w:rsidR="00DD2A06" w:rsidRDefault="00DD2A06" w:rsidP="00DD2A06">
      <w:pPr>
        <w:pStyle w:val="ListParagraph"/>
        <w:numPr>
          <w:ilvl w:val="0"/>
          <w:numId w:val="27"/>
        </w:numPr>
        <w:spacing w:after="0"/>
        <w:rPr>
          <w:rFonts w:cs="Arial"/>
        </w:rPr>
      </w:pPr>
      <w:r w:rsidRPr="00882976">
        <w:rPr>
          <w:rFonts w:cs="Arial"/>
        </w:rPr>
        <w:t xml:space="preserve">Children's Social Care is </w:t>
      </w:r>
      <w:r>
        <w:rPr>
          <w:rFonts w:cs="Arial"/>
        </w:rPr>
        <w:t>a further significant area that requires</w:t>
      </w:r>
      <w:r w:rsidRPr="00882976">
        <w:rPr>
          <w:rFonts w:cs="Arial"/>
        </w:rPr>
        <w:t xml:space="preserve"> price inflation within its budget. In </w:t>
      </w:r>
      <w:r>
        <w:rPr>
          <w:rFonts w:cs="Arial"/>
        </w:rPr>
        <w:t xml:space="preserve">total the budget requirement for the </w:t>
      </w:r>
      <w:r w:rsidRPr="006C7846">
        <w:rPr>
          <w:rFonts w:cs="Arial"/>
        </w:rPr>
        <w:t>service is £5.815m. This includes item</w:t>
      </w:r>
      <w:r w:rsidRPr="006C7846">
        <w:rPr>
          <w:rFonts w:cs="Arial"/>
          <w:i/>
        </w:rPr>
        <w:t>s</w:t>
      </w:r>
      <w:r w:rsidRPr="006C7846">
        <w:rPr>
          <w:rFonts w:cs="Arial"/>
        </w:rPr>
        <w:t xml:space="preserve"> that will inflate such as agency payments, residence orders,</w:t>
      </w:r>
      <w:r w:rsidRPr="00882976">
        <w:rPr>
          <w:rFonts w:cs="Arial"/>
        </w:rPr>
        <w:t xml:space="preserve"> foster and other al</w:t>
      </w:r>
      <w:r>
        <w:rPr>
          <w:rFonts w:cs="Arial"/>
        </w:rPr>
        <w:t>lowances and payments to health.  There are no changes to the forecast price increases across Children's Social Care at Quarter 2.</w:t>
      </w:r>
    </w:p>
    <w:p w:rsidR="00DD2A06" w:rsidRPr="004A0F7B" w:rsidRDefault="00DD2A06" w:rsidP="00DD2A06">
      <w:pPr>
        <w:pStyle w:val="ListParagraph"/>
        <w:rPr>
          <w:rFonts w:cs="Arial"/>
        </w:rPr>
      </w:pPr>
    </w:p>
    <w:p w:rsidR="00DD2A06" w:rsidRPr="004A0F7B" w:rsidRDefault="00DD2A06" w:rsidP="00DD2A06">
      <w:pPr>
        <w:pStyle w:val="ListParagraph"/>
        <w:numPr>
          <w:ilvl w:val="0"/>
          <w:numId w:val="27"/>
        </w:numPr>
        <w:spacing w:after="0"/>
        <w:rPr>
          <w:rFonts w:cs="Arial"/>
        </w:rPr>
      </w:pPr>
      <w:r>
        <w:rPr>
          <w:rFonts w:cs="Arial"/>
        </w:rPr>
        <w:t xml:space="preserve">A further significant inflationary increase that is included in the MTFS relates to premises running cost budgets which were included at Quarter 1. As charges such as energy costs increase estimates of price rises have been included within this </w:t>
      </w:r>
      <w:r w:rsidRPr="00497ECF">
        <w:rPr>
          <w:rFonts w:cs="Arial"/>
        </w:rPr>
        <w:t>MTFS with 2018/19 including 2 years inflation as no provision was made in the 2017/18 budget. The total budget requirement is £3.992m over</w:t>
      </w:r>
      <w:r>
        <w:rPr>
          <w:rFonts w:cs="Arial"/>
        </w:rPr>
        <w:t xml:space="preserve"> the 4 year period of the MTFS. </w:t>
      </w:r>
    </w:p>
    <w:p w:rsidR="00DD2A06" w:rsidRPr="00882976" w:rsidRDefault="00DD2A06" w:rsidP="00DD2A06">
      <w:pPr>
        <w:pStyle w:val="ListParagraph"/>
        <w:rPr>
          <w:rFonts w:cs="Arial"/>
        </w:rPr>
      </w:pPr>
    </w:p>
    <w:p w:rsidR="00DD2A06" w:rsidRPr="009C3A54" w:rsidRDefault="00DD2A06" w:rsidP="00DD2A06">
      <w:pPr>
        <w:pStyle w:val="ListParagraph"/>
        <w:numPr>
          <w:ilvl w:val="0"/>
          <w:numId w:val="27"/>
        </w:numPr>
        <w:autoSpaceDE/>
        <w:autoSpaceDN/>
        <w:adjustRightInd/>
        <w:spacing w:after="0"/>
        <w:rPr>
          <w:rFonts w:cs="Arial"/>
        </w:rPr>
      </w:pPr>
      <w:r w:rsidRPr="00882976">
        <w:rPr>
          <w:rFonts w:cs="Arial"/>
        </w:rPr>
        <w:t xml:space="preserve">Other smaller areas of price inflation include transport costs, concessionary travel, highways, winter maintenance, energy and legal fees. </w:t>
      </w:r>
    </w:p>
    <w:p w:rsidR="00DD2A06" w:rsidRPr="00882976" w:rsidRDefault="00DD2A06" w:rsidP="00DD2A06">
      <w:pPr>
        <w:autoSpaceDE/>
        <w:autoSpaceDN/>
        <w:adjustRightInd/>
        <w:spacing w:after="0"/>
        <w:jc w:val="left"/>
        <w:rPr>
          <w:rFonts w:cs="Arial"/>
          <w:b/>
          <w:highlight w:val="yellow"/>
        </w:rPr>
      </w:pPr>
    </w:p>
    <w:p w:rsidR="00DD2A06" w:rsidRPr="00882976" w:rsidRDefault="00DD2A06" w:rsidP="00DD2A06">
      <w:pPr>
        <w:tabs>
          <w:tab w:val="left" w:pos="567"/>
          <w:tab w:val="left" w:pos="1134"/>
        </w:tabs>
        <w:spacing w:after="0"/>
        <w:rPr>
          <w:rFonts w:cs="Arial"/>
          <w:b/>
        </w:rPr>
      </w:pPr>
      <w:r w:rsidRPr="00882976">
        <w:rPr>
          <w:rFonts w:cs="Arial"/>
          <w:b/>
        </w:rPr>
        <w:t>3.3</w:t>
      </w:r>
      <w:r w:rsidRPr="00882976">
        <w:rPr>
          <w:rFonts w:cs="Arial"/>
          <w:b/>
        </w:rPr>
        <w:tab/>
        <w:t>Demand Pressures</w:t>
      </w:r>
    </w:p>
    <w:p w:rsidR="00DD2A06" w:rsidRPr="00882976" w:rsidRDefault="00DD2A06" w:rsidP="00DD2A06">
      <w:pPr>
        <w:tabs>
          <w:tab w:val="left" w:pos="567"/>
          <w:tab w:val="left" w:pos="1134"/>
        </w:tabs>
        <w:spacing w:after="0"/>
        <w:rPr>
          <w:rFonts w:cs="Arial"/>
          <w:b/>
        </w:rPr>
      </w:pPr>
    </w:p>
    <w:p w:rsidR="00DD2A06" w:rsidRDefault="00DD2A06" w:rsidP="00DD2A06">
      <w:pPr>
        <w:tabs>
          <w:tab w:val="left" w:pos="567"/>
          <w:tab w:val="left" w:pos="1134"/>
        </w:tabs>
        <w:spacing w:after="0"/>
        <w:rPr>
          <w:rFonts w:cs="Arial"/>
        </w:rPr>
      </w:pPr>
      <w:r>
        <w:rPr>
          <w:rFonts w:cs="Arial"/>
        </w:rPr>
        <w:t xml:space="preserve">All services have </w:t>
      </w:r>
      <w:r w:rsidRPr="00882976">
        <w:rPr>
          <w:rFonts w:cs="Arial"/>
        </w:rPr>
        <w:t xml:space="preserve">reviewed the demand pressures </w:t>
      </w:r>
      <w:r>
        <w:rPr>
          <w:rFonts w:cs="Arial"/>
        </w:rPr>
        <w:t>they face</w:t>
      </w:r>
      <w:r w:rsidRPr="00882976">
        <w:rPr>
          <w:rFonts w:cs="Arial"/>
        </w:rPr>
        <w:t xml:space="preserve"> in future years. The impact of this review has been identified and is reflected in the revised MTFS</w:t>
      </w:r>
      <w:r>
        <w:rPr>
          <w:rFonts w:cs="Arial"/>
        </w:rPr>
        <w:t>. I</w:t>
      </w:r>
      <w:r w:rsidRPr="00882976">
        <w:rPr>
          <w:rFonts w:cs="Arial"/>
        </w:rPr>
        <w:t>t can be seen that a significant proportion of the funding gap that has been identif</w:t>
      </w:r>
      <w:r>
        <w:rPr>
          <w:rFonts w:cs="Arial"/>
        </w:rPr>
        <w:t xml:space="preserve">ied is due to demand pressures. </w:t>
      </w:r>
    </w:p>
    <w:p w:rsidR="00DD2A06" w:rsidRPr="0070024B" w:rsidRDefault="00DD2A06" w:rsidP="00DD2A06">
      <w:pPr>
        <w:tabs>
          <w:tab w:val="left" w:pos="567"/>
          <w:tab w:val="left" w:pos="1134"/>
        </w:tabs>
        <w:spacing w:after="0"/>
        <w:rPr>
          <w:rFonts w:cs="Arial"/>
        </w:rPr>
      </w:pPr>
    </w:p>
    <w:p w:rsidR="00DD2A06" w:rsidRPr="00882976" w:rsidRDefault="00DD2A06" w:rsidP="00DD2A06">
      <w:pPr>
        <w:tabs>
          <w:tab w:val="left" w:pos="567"/>
          <w:tab w:val="left" w:pos="1134"/>
        </w:tabs>
        <w:spacing w:after="0"/>
        <w:rPr>
          <w:rFonts w:cs="Arial"/>
        </w:rPr>
      </w:pPr>
      <w:r w:rsidRPr="00882976">
        <w:rPr>
          <w:rFonts w:cs="Arial"/>
        </w:rPr>
        <w:t xml:space="preserve">In total it is estimated that the demand pressures </w:t>
      </w:r>
      <w:r w:rsidRPr="004F4CD0">
        <w:rPr>
          <w:rFonts w:cs="Arial"/>
        </w:rPr>
        <w:t xml:space="preserve">are </w:t>
      </w:r>
      <w:r w:rsidRPr="00497ECF">
        <w:rPr>
          <w:rFonts w:cs="Arial"/>
        </w:rPr>
        <w:t>now £80.763m. This</w:t>
      </w:r>
      <w:r w:rsidRPr="00882976">
        <w:rPr>
          <w:rFonts w:cs="Arial"/>
        </w:rPr>
        <w:t xml:space="preserve"> is </w:t>
      </w:r>
      <w:r>
        <w:rPr>
          <w:rFonts w:cs="Arial"/>
        </w:rPr>
        <w:t xml:space="preserve">an </w:t>
      </w:r>
      <w:r w:rsidRPr="00497ECF">
        <w:rPr>
          <w:rFonts w:cs="Arial"/>
        </w:rPr>
        <w:t>increase of £</w:t>
      </w:r>
      <w:r>
        <w:rPr>
          <w:rFonts w:cs="Arial"/>
        </w:rPr>
        <w:t>3.182</w:t>
      </w:r>
      <w:r w:rsidRPr="00497ECF">
        <w:rPr>
          <w:rFonts w:cs="Arial"/>
        </w:rPr>
        <w:t>m when</w:t>
      </w:r>
      <w:r w:rsidRPr="00296C48">
        <w:rPr>
          <w:rFonts w:cs="Arial"/>
        </w:rPr>
        <w:t xml:space="preserve"> comparing those years contained within the previous MTFS</w:t>
      </w:r>
      <w:r>
        <w:rPr>
          <w:rFonts w:cs="Arial"/>
        </w:rPr>
        <w:t xml:space="preserve"> reported to Cabinet in September 2017. </w:t>
      </w:r>
    </w:p>
    <w:p w:rsidR="00DD2A06" w:rsidRPr="00882976" w:rsidRDefault="00DD2A06" w:rsidP="00DD2A06">
      <w:pPr>
        <w:tabs>
          <w:tab w:val="left" w:pos="567"/>
          <w:tab w:val="left" w:pos="1134"/>
        </w:tabs>
        <w:spacing w:after="0"/>
        <w:rPr>
          <w:rFonts w:cs="Arial"/>
          <w:highlight w:val="yellow"/>
        </w:rPr>
      </w:pPr>
    </w:p>
    <w:tbl>
      <w:tblPr>
        <w:tblStyle w:val="TableGrid"/>
        <w:tblW w:w="8359" w:type="dxa"/>
        <w:jc w:val="center"/>
        <w:tblLook w:val="04A0" w:firstRow="1" w:lastRow="0" w:firstColumn="1" w:lastColumn="0" w:noHBand="0" w:noVBand="1"/>
      </w:tblPr>
      <w:tblGrid>
        <w:gridCol w:w="2878"/>
        <w:gridCol w:w="1084"/>
        <w:gridCol w:w="1084"/>
        <w:gridCol w:w="1084"/>
        <w:gridCol w:w="1084"/>
        <w:gridCol w:w="1145"/>
      </w:tblGrid>
      <w:tr w:rsidR="00883109" w:rsidTr="00DD2A06">
        <w:trPr>
          <w:trHeight w:val="684"/>
          <w:jc w:val="center"/>
        </w:trPr>
        <w:tc>
          <w:tcPr>
            <w:tcW w:w="0" w:type="auto"/>
            <w:shd w:val="clear" w:color="auto" w:fill="BFBFBF" w:themeFill="background1" w:themeFillShade="BF"/>
          </w:tcPr>
          <w:p w:rsidR="00DD2A06" w:rsidRPr="00882976" w:rsidRDefault="00DD2A06" w:rsidP="00DD2A06">
            <w:pPr>
              <w:tabs>
                <w:tab w:val="left" w:pos="567"/>
                <w:tab w:val="left" w:pos="1134"/>
              </w:tabs>
              <w:spacing w:after="0"/>
              <w:rPr>
                <w:rFonts w:cs="Arial"/>
              </w:rPr>
            </w:pPr>
          </w:p>
        </w:tc>
        <w:tc>
          <w:tcPr>
            <w:tcW w:w="0" w:type="auto"/>
            <w:shd w:val="clear" w:color="auto" w:fill="BFBFBF" w:themeFill="background1" w:themeFillShade="BF"/>
            <w:vAlign w:val="center"/>
          </w:tcPr>
          <w:p w:rsidR="00DD2A06" w:rsidRPr="00882976" w:rsidRDefault="00DD2A06" w:rsidP="00DD2A06">
            <w:pPr>
              <w:tabs>
                <w:tab w:val="left" w:pos="567"/>
                <w:tab w:val="left" w:pos="1134"/>
              </w:tabs>
              <w:spacing w:after="0"/>
              <w:jc w:val="center"/>
              <w:rPr>
                <w:rFonts w:cs="Arial"/>
                <w:b/>
              </w:rPr>
            </w:pPr>
            <w:r w:rsidRPr="00882976">
              <w:rPr>
                <w:rFonts w:cs="Arial"/>
                <w:b/>
              </w:rPr>
              <w:t>2018/19</w:t>
            </w:r>
          </w:p>
          <w:p w:rsidR="00DD2A06" w:rsidRPr="00882976" w:rsidRDefault="00DD2A06" w:rsidP="00DD2A06">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rsidR="00DD2A06" w:rsidRPr="00882976" w:rsidRDefault="00DD2A06" w:rsidP="00DD2A06">
            <w:pPr>
              <w:tabs>
                <w:tab w:val="left" w:pos="567"/>
                <w:tab w:val="left" w:pos="1134"/>
              </w:tabs>
              <w:spacing w:after="0"/>
              <w:jc w:val="center"/>
              <w:rPr>
                <w:rFonts w:cs="Arial"/>
                <w:b/>
              </w:rPr>
            </w:pPr>
            <w:r w:rsidRPr="00882976">
              <w:rPr>
                <w:rFonts w:cs="Arial"/>
                <w:b/>
              </w:rPr>
              <w:t>2019/20</w:t>
            </w:r>
          </w:p>
          <w:p w:rsidR="00DD2A06" w:rsidRPr="00882976" w:rsidRDefault="00DD2A06" w:rsidP="00DD2A06">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rsidR="00DD2A06" w:rsidRPr="00882976" w:rsidRDefault="00DD2A06" w:rsidP="00DD2A06">
            <w:pPr>
              <w:tabs>
                <w:tab w:val="left" w:pos="567"/>
                <w:tab w:val="left" w:pos="1134"/>
              </w:tabs>
              <w:spacing w:after="0"/>
              <w:jc w:val="center"/>
              <w:rPr>
                <w:rFonts w:cs="Arial"/>
                <w:b/>
              </w:rPr>
            </w:pPr>
            <w:r w:rsidRPr="00882976">
              <w:rPr>
                <w:rFonts w:cs="Arial"/>
                <w:b/>
              </w:rPr>
              <w:t>2020/21</w:t>
            </w:r>
          </w:p>
          <w:p w:rsidR="00DD2A06" w:rsidRPr="00882976" w:rsidRDefault="00DD2A06" w:rsidP="00DD2A06">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rsidR="00DD2A06" w:rsidRPr="00882976" w:rsidRDefault="00DD2A06" w:rsidP="00DD2A06">
            <w:pPr>
              <w:tabs>
                <w:tab w:val="left" w:pos="567"/>
                <w:tab w:val="left" w:pos="1134"/>
              </w:tabs>
              <w:spacing w:after="0"/>
              <w:jc w:val="center"/>
              <w:rPr>
                <w:rFonts w:cs="Arial"/>
                <w:b/>
              </w:rPr>
            </w:pPr>
            <w:r>
              <w:rPr>
                <w:rFonts w:cs="Arial"/>
                <w:b/>
              </w:rPr>
              <w:t>2021/22</w:t>
            </w:r>
          </w:p>
          <w:p w:rsidR="00DD2A06" w:rsidRPr="00882976" w:rsidRDefault="00DD2A06" w:rsidP="00DD2A06">
            <w:pPr>
              <w:tabs>
                <w:tab w:val="left" w:pos="567"/>
                <w:tab w:val="left" w:pos="1134"/>
              </w:tabs>
              <w:spacing w:after="0"/>
              <w:jc w:val="center"/>
              <w:rPr>
                <w:rFonts w:cs="Arial"/>
                <w:b/>
              </w:rPr>
            </w:pPr>
            <w:r w:rsidRPr="00882976">
              <w:rPr>
                <w:rFonts w:cs="Arial"/>
                <w:b/>
              </w:rPr>
              <w:t>£m</w:t>
            </w:r>
          </w:p>
        </w:tc>
        <w:tc>
          <w:tcPr>
            <w:tcW w:w="1145" w:type="dxa"/>
            <w:shd w:val="clear" w:color="auto" w:fill="BFBFBF" w:themeFill="background1" w:themeFillShade="BF"/>
            <w:vAlign w:val="center"/>
          </w:tcPr>
          <w:p w:rsidR="00DD2A06" w:rsidRPr="00882976" w:rsidRDefault="00DD2A06" w:rsidP="00DD2A06">
            <w:pPr>
              <w:tabs>
                <w:tab w:val="left" w:pos="567"/>
                <w:tab w:val="left" w:pos="1134"/>
              </w:tabs>
              <w:spacing w:after="0"/>
              <w:jc w:val="center"/>
              <w:rPr>
                <w:rFonts w:cs="Arial"/>
                <w:b/>
              </w:rPr>
            </w:pPr>
            <w:r w:rsidRPr="00882976">
              <w:rPr>
                <w:rFonts w:cs="Arial"/>
                <w:b/>
              </w:rPr>
              <w:t>Total</w:t>
            </w:r>
          </w:p>
          <w:p w:rsidR="00DD2A06" w:rsidRPr="00882976" w:rsidRDefault="00DD2A06" w:rsidP="00DD2A06">
            <w:pPr>
              <w:tabs>
                <w:tab w:val="left" w:pos="567"/>
                <w:tab w:val="left" w:pos="1134"/>
              </w:tabs>
              <w:spacing w:after="0"/>
              <w:jc w:val="center"/>
              <w:rPr>
                <w:rFonts w:cs="Arial"/>
                <w:b/>
              </w:rPr>
            </w:pPr>
            <w:r w:rsidRPr="00882976">
              <w:rPr>
                <w:rFonts w:cs="Arial"/>
                <w:b/>
              </w:rPr>
              <w:t>£m</w:t>
            </w:r>
          </w:p>
        </w:tc>
      </w:tr>
      <w:tr w:rsidR="00883109" w:rsidTr="00DD2A06">
        <w:trPr>
          <w:trHeight w:val="684"/>
          <w:jc w:val="center"/>
        </w:trPr>
        <w:tc>
          <w:tcPr>
            <w:tcW w:w="0" w:type="auto"/>
            <w:vAlign w:val="center"/>
          </w:tcPr>
          <w:p w:rsidR="00DD2A06" w:rsidRPr="00882976" w:rsidRDefault="00DD2A06" w:rsidP="00DD2A06">
            <w:pPr>
              <w:tabs>
                <w:tab w:val="left" w:pos="567"/>
                <w:tab w:val="left" w:pos="1134"/>
              </w:tabs>
              <w:spacing w:after="0"/>
              <w:jc w:val="left"/>
              <w:rPr>
                <w:rFonts w:cs="Arial"/>
              </w:rPr>
            </w:pPr>
            <w:r w:rsidRPr="00882976">
              <w:rPr>
                <w:rFonts w:cs="Arial"/>
                <w:b/>
              </w:rPr>
              <w:t>Demand – previous MTFS</w:t>
            </w:r>
          </w:p>
        </w:tc>
        <w:tc>
          <w:tcPr>
            <w:tcW w:w="0" w:type="auto"/>
            <w:vAlign w:val="center"/>
          </w:tcPr>
          <w:p w:rsidR="00DD2A06" w:rsidRPr="00497ECF" w:rsidRDefault="00DD2A06" w:rsidP="00DD2A06">
            <w:pPr>
              <w:tabs>
                <w:tab w:val="left" w:pos="567"/>
                <w:tab w:val="left" w:pos="1134"/>
              </w:tabs>
              <w:spacing w:after="0"/>
              <w:jc w:val="right"/>
              <w:rPr>
                <w:rFonts w:cs="Arial"/>
              </w:rPr>
            </w:pPr>
            <w:r w:rsidRPr="00497ECF">
              <w:rPr>
                <w:rFonts w:cs="Arial"/>
              </w:rPr>
              <w:t>19.721</w:t>
            </w:r>
          </w:p>
        </w:tc>
        <w:tc>
          <w:tcPr>
            <w:tcW w:w="0" w:type="auto"/>
            <w:vAlign w:val="center"/>
          </w:tcPr>
          <w:p w:rsidR="00DD2A06" w:rsidRPr="00497ECF" w:rsidRDefault="00DD2A06" w:rsidP="00DD2A06">
            <w:pPr>
              <w:tabs>
                <w:tab w:val="left" w:pos="567"/>
                <w:tab w:val="left" w:pos="1134"/>
              </w:tabs>
              <w:spacing w:after="0"/>
              <w:jc w:val="right"/>
              <w:rPr>
                <w:rFonts w:cs="Arial"/>
              </w:rPr>
            </w:pPr>
            <w:r w:rsidRPr="00497ECF">
              <w:rPr>
                <w:rFonts w:cs="Arial"/>
              </w:rPr>
              <w:t>23.197</w:t>
            </w:r>
          </w:p>
        </w:tc>
        <w:tc>
          <w:tcPr>
            <w:tcW w:w="0" w:type="auto"/>
            <w:vAlign w:val="center"/>
          </w:tcPr>
          <w:p w:rsidR="00DD2A06" w:rsidRPr="00497ECF" w:rsidRDefault="00DD2A06" w:rsidP="00DD2A06">
            <w:pPr>
              <w:tabs>
                <w:tab w:val="left" w:pos="567"/>
                <w:tab w:val="left" w:pos="1134"/>
              </w:tabs>
              <w:spacing w:after="0"/>
              <w:jc w:val="right"/>
              <w:rPr>
                <w:rFonts w:cs="Arial"/>
              </w:rPr>
            </w:pPr>
            <w:r>
              <w:rPr>
                <w:rFonts w:cs="Arial"/>
              </w:rPr>
              <w:t>20.680</w:t>
            </w:r>
          </w:p>
        </w:tc>
        <w:tc>
          <w:tcPr>
            <w:tcW w:w="0" w:type="auto"/>
            <w:vAlign w:val="center"/>
          </w:tcPr>
          <w:p w:rsidR="00DD2A06" w:rsidRPr="00497ECF" w:rsidRDefault="00DD2A06" w:rsidP="00DD2A06">
            <w:pPr>
              <w:tabs>
                <w:tab w:val="left" w:pos="567"/>
                <w:tab w:val="left" w:pos="1134"/>
              </w:tabs>
              <w:spacing w:after="0"/>
              <w:jc w:val="right"/>
              <w:rPr>
                <w:rFonts w:cs="Arial"/>
              </w:rPr>
            </w:pPr>
            <w:r w:rsidRPr="00497ECF">
              <w:rPr>
                <w:rFonts w:cs="Arial"/>
              </w:rPr>
              <w:t>13.982</w:t>
            </w:r>
          </w:p>
        </w:tc>
        <w:tc>
          <w:tcPr>
            <w:tcW w:w="1145" w:type="dxa"/>
            <w:vAlign w:val="center"/>
          </w:tcPr>
          <w:p w:rsidR="00DD2A06" w:rsidRPr="00497ECF" w:rsidRDefault="00DD2A06" w:rsidP="00DD2A06">
            <w:pPr>
              <w:tabs>
                <w:tab w:val="left" w:pos="567"/>
                <w:tab w:val="left" w:pos="1134"/>
              </w:tabs>
              <w:spacing w:after="0"/>
              <w:jc w:val="right"/>
              <w:rPr>
                <w:rFonts w:cs="Arial"/>
                <w:b/>
              </w:rPr>
            </w:pPr>
            <w:r>
              <w:rPr>
                <w:rFonts w:cs="Arial"/>
                <w:b/>
              </w:rPr>
              <w:t>77.580</w:t>
            </w:r>
          </w:p>
        </w:tc>
      </w:tr>
      <w:tr w:rsidR="00883109" w:rsidTr="00DD2A06">
        <w:trPr>
          <w:trHeight w:val="401"/>
          <w:jc w:val="center"/>
        </w:trPr>
        <w:tc>
          <w:tcPr>
            <w:tcW w:w="0" w:type="auto"/>
            <w:vAlign w:val="center"/>
          </w:tcPr>
          <w:p w:rsidR="00DD2A06" w:rsidRPr="00882976" w:rsidRDefault="00DD2A06" w:rsidP="00DD2A06">
            <w:pPr>
              <w:tabs>
                <w:tab w:val="left" w:pos="567"/>
                <w:tab w:val="left" w:pos="1134"/>
              </w:tabs>
              <w:spacing w:after="0"/>
              <w:jc w:val="left"/>
              <w:rPr>
                <w:rFonts w:cs="Arial"/>
              </w:rPr>
            </w:pPr>
          </w:p>
        </w:tc>
        <w:tc>
          <w:tcPr>
            <w:tcW w:w="0" w:type="auto"/>
            <w:vAlign w:val="center"/>
          </w:tcPr>
          <w:p w:rsidR="00DD2A06" w:rsidRPr="00015BD4" w:rsidRDefault="00DD2A06" w:rsidP="00DD2A06">
            <w:pPr>
              <w:tabs>
                <w:tab w:val="left" w:pos="567"/>
                <w:tab w:val="left" w:pos="1134"/>
              </w:tabs>
              <w:spacing w:after="0"/>
              <w:jc w:val="right"/>
              <w:rPr>
                <w:rFonts w:cs="Arial"/>
                <w:highlight w:val="cyan"/>
              </w:rPr>
            </w:pPr>
          </w:p>
        </w:tc>
        <w:tc>
          <w:tcPr>
            <w:tcW w:w="0" w:type="auto"/>
            <w:vAlign w:val="center"/>
          </w:tcPr>
          <w:p w:rsidR="00DD2A06" w:rsidRPr="00015BD4" w:rsidRDefault="00DD2A06" w:rsidP="00DD2A06">
            <w:pPr>
              <w:tabs>
                <w:tab w:val="left" w:pos="567"/>
                <w:tab w:val="left" w:pos="1134"/>
              </w:tabs>
              <w:spacing w:after="0"/>
              <w:jc w:val="right"/>
              <w:rPr>
                <w:rFonts w:cs="Arial"/>
                <w:highlight w:val="cyan"/>
              </w:rPr>
            </w:pPr>
          </w:p>
        </w:tc>
        <w:tc>
          <w:tcPr>
            <w:tcW w:w="0" w:type="auto"/>
            <w:vAlign w:val="center"/>
          </w:tcPr>
          <w:p w:rsidR="00DD2A06" w:rsidRPr="00015BD4" w:rsidRDefault="00DD2A06" w:rsidP="00DD2A06">
            <w:pPr>
              <w:tabs>
                <w:tab w:val="left" w:pos="567"/>
                <w:tab w:val="left" w:pos="1134"/>
              </w:tabs>
              <w:spacing w:after="0"/>
              <w:jc w:val="right"/>
              <w:rPr>
                <w:rFonts w:cs="Arial"/>
                <w:highlight w:val="cyan"/>
              </w:rPr>
            </w:pPr>
          </w:p>
        </w:tc>
        <w:tc>
          <w:tcPr>
            <w:tcW w:w="0" w:type="auto"/>
            <w:vAlign w:val="center"/>
          </w:tcPr>
          <w:p w:rsidR="00DD2A06" w:rsidRPr="00015BD4" w:rsidRDefault="00DD2A06" w:rsidP="00DD2A06">
            <w:pPr>
              <w:tabs>
                <w:tab w:val="left" w:pos="567"/>
                <w:tab w:val="left" w:pos="1134"/>
              </w:tabs>
              <w:spacing w:after="0"/>
              <w:jc w:val="right"/>
              <w:rPr>
                <w:rFonts w:cs="Arial"/>
                <w:highlight w:val="cyan"/>
              </w:rPr>
            </w:pPr>
          </w:p>
        </w:tc>
        <w:tc>
          <w:tcPr>
            <w:tcW w:w="1145" w:type="dxa"/>
            <w:vAlign w:val="center"/>
          </w:tcPr>
          <w:p w:rsidR="00DD2A06" w:rsidRPr="00015BD4" w:rsidRDefault="00DD2A06" w:rsidP="00DD2A06">
            <w:pPr>
              <w:tabs>
                <w:tab w:val="left" w:pos="567"/>
                <w:tab w:val="left" w:pos="1134"/>
              </w:tabs>
              <w:spacing w:after="0"/>
              <w:jc w:val="right"/>
              <w:rPr>
                <w:rFonts w:cs="Arial"/>
                <w:b/>
                <w:highlight w:val="cyan"/>
              </w:rPr>
            </w:pPr>
          </w:p>
        </w:tc>
      </w:tr>
      <w:tr w:rsidR="00883109" w:rsidTr="00DD2A06">
        <w:trPr>
          <w:trHeight w:val="684"/>
          <w:jc w:val="center"/>
        </w:trPr>
        <w:tc>
          <w:tcPr>
            <w:tcW w:w="0" w:type="auto"/>
            <w:vAlign w:val="center"/>
          </w:tcPr>
          <w:p w:rsidR="00DD2A06" w:rsidRPr="00882976" w:rsidRDefault="00DD2A06" w:rsidP="00DD2A06">
            <w:pPr>
              <w:tabs>
                <w:tab w:val="left" w:pos="567"/>
                <w:tab w:val="left" w:pos="1134"/>
              </w:tabs>
              <w:spacing w:after="0"/>
              <w:jc w:val="left"/>
              <w:rPr>
                <w:rFonts w:cs="Arial"/>
              </w:rPr>
            </w:pPr>
            <w:r w:rsidRPr="00882976">
              <w:rPr>
                <w:rFonts w:cs="Arial"/>
              </w:rPr>
              <w:t>Revised Demand Requirements</w:t>
            </w:r>
          </w:p>
        </w:tc>
        <w:tc>
          <w:tcPr>
            <w:tcW w:w="0" w:type="auto"/>
            <w:vAlign w:val="center"/>
          </w:tcPr>
          <w:p w:rsidR="00DD2A06" w:rsidRPr="00497ECF" w:rsidRDefault="00DD2A06" w:rsidP="00DD2A06">
            <w:pPr>
              <w:tabs>
                <w:tab w:val="left" w:pos="567"/>
                <w:tab w:val="left" w:pos="1134"/>
              </w:tabs>
              <w:spacing w:after="0"/>
              <w:jc w:val="right"/>
              <w:rPr>
                <w:rFonts w:cs="Arial"/>
              </w:rPr>
            </w:pPr>
            <w:r>
              <w:rPr>
                <w:rFonts w:cs="Arial"/>
              </w:rPr>
              <w:t>22.980</w:t>
            </w:r>
          </w:p>
        </w:tc>
        <w:tc>
          <w:tcPr>
            <w:tcW w:w="0" w:type="auto"/>
            <w:vAlign w:val="center"/>
          </w:tcPr>
          <w:p w:rsidR="00DD2A06" w:rsidRPr="00497ECF" w:rsidRDefault="00DD2A06" w:rsidP="00DD2A06">
            <w:pPr>
              <w:tabs>
                <w:tab w:val="left" w:pos="567"/>
                <w:tab w:val="left" w:pos="1134"/>
              </w:tabs>
              <w:spacing w:after="0"/>
              <w:jc w:val="right"/>
              <w:rPr>
                <w:rFonts w:cs="Arial"/>
              </w:rPr>
            </w:pPr>
            <w:r>
              <w:rPr>
                <w:rFonts w:cs="Arial"/>
              </w:rPr>
              <w:t>23.194</w:t>
            </w:r>
          </w:p>
        </w:tc>
        <w:tc>
          <w:tcPr>
            <w:tcW w:w="0" w:type="auto"/>
            <w:vAlign w:val="center"/>
          </w:tcPr>
          <w:p w:rsidR="00DD2A06" w:rsidRPr="00497ECF" w:rsidRDefault="00DD2A06" w:rsidP="00DD2A06">
            <w:pPr>
              <w:tabs>
                <w:tab w:val="left" w:pos="567"/>
                <w:tab w:val="left" w:pos="1134"/>
              </w:tabs>
              <w:spacing w:after="0"/>
              <w:jc w:val="right"/>
              <w:rPr>
                <w:rFonts w:cs="Arial"/>
              </w:rPr>
            </w:pPr>
            <w:r>
              <w:rPr>
                <w:rFonts w:cs="Arial"/>
              </w:rPr>
              <w:t>20.617</w:t>
            </w:r>
          </w:p>
        </w:tc>
        <w:tc>
          <w:tcPr>
            <w:tcW w:w="0" w:type="auto"/>
            <w:vAlign w:val="center"/>
          </w:tcPr>
          <w:p w:rsidR="00DD2A06" w:rsidRPr="00497ECF" w:rsidRDefault="00DD2A06" w:rsidP="00DD2A06">
            <w:pPr>
              <w:tabs>
                <w:tab w:val="left" w:pos="567"/>
                <w:tab w:val="left" w:pos="1134"/>
              </w:tabs>
              <w:spacing w:after="0"/>
              <w:jc w:val="right"/>
              <w:rPr>
                <w:rFonts w:cs="Arial"/>
              </w:rPr>
            </w:pPr>
            <w:r>
              <w:rPr>
                <w:rFonts w:cs="Arial"/>
              </w:rPr>
              <w:t>13.972</w:t>
            </w:r>
          </w:p>
        </w:tc>
        <w:tc>
          <w:tcPr>
            <w:tcW w:w="1145" w:type="dxa"/>
            <w:vAlign w:val="center"/>
          </w:tcPr>
          <w:p w:rsidR="00DD2A06" w:rsidRPr="00497ECF" w:rsidRDefault="00DD2A06" w:rsidP="00DD2A06">
            <w:pPr>
              <w:tabs>
                <w:tab w:val="left" w:pos="567"/>
                <w:tab w:val="left" w:pos="1134"/>
              </w:tabs>
              <w:spacing w:after="0"/>
              <w:jc w:val="right"/>
              <w:rPr>
                <w:rFonts w:cs="Arial"/>
                <w:b/>
              </w:rPr>
            </w:pPr>
            <w:r>
              <w:rPr>
                <w:rFonts w:cs="Arial"/>
                <w:b/>
              </w:rPr>
              <w:t>80.763</w:t>
            </w:r>
          </w:p>
        </w:tc>
      </w:tr>
      <w:tr w:rsidR="00883109" w:rsidTr="00DD2A06">
        <w:trPr>
          <w:trHeight w:val="431"/>
          <w:jc w:val="center"/>
        </w:trPr>
        <w:tc>
          <w:tcPr>
            <w:tcW w:w="0" w:type="auto"/>
            <w:vAlign w:val="center"/>
          </w:tcPr>
          <w:p w:rsidR="00DD2A06" w:rsidRPr="00882976" w:rsidRDefault="00DD2A06" w:rsidP="00DD2A06">
            <w:pPr>
              <w:tabs>
                <w:tab w:val="left" w:pos="567"/>
                <w:tab w:val="left" w:pos="1134"/>
              </w:tabs>
              <w:spacing w:after="0"/>
              <w:jc w:val="left"/>
              <w:rPr>
                <w:rFonts w:cs="Arial"/>
              </w:rPr>
            </w:pPr>
          </w:p>
        </w:tc>
        <w:tc>
          <w:tcPr>
            <w:tcW w:w="0" w:type="auto"/>
            <w:vAlign w:val="center"/>
          </w:tcPr>
          <w:p w:rsidR="00DD2A06" w:rsidRPr="00497ECF" w:rsidRDefault="00DD2A06" w:rsidP="00DD2A06">
            <w:pPr>
              <w:tabs>
                <w:tab w:val="left" w:pos="567"/>
                <w:tab w:val="left" w:pos="1134"/>
              </w:tabs>
              <w:spacing w:after="0"/>
              <w:jc w:val="right"/>
              <w:rPr>
                <w:rFonts w:cs="Arial"/>
              </w:rPr>
            </w:pPr>
          </w:p>
        </w:tc>
        <w:tc>
          <w:tcPr>
            <w:tcW w:w="0" w:type="auto"/>
            <w:vAlign w:val="center"/>
          </w:tcPr>
          <w:p w:rsidR="00DD2A06" w:rsidRPr="00497ECF" w:rsidRDefault="00DD2A06" w:rsidP="00DD2A06">
            <w:pPr>
              <w:tabs>
                <w:tab w:val="left" w:pos="567"/>
                <w:tab w:val="left" w:pos="1134"/>
              </w:tabs>
              <w:spacing w:after="0"/>
              <w:jc w:val="right"/>
              <w:rPr>
                <w:rFonts w:cs="Arial"/>
              </w:rPr>
            </w:pPr>
          </w:p>
        </w:tc>
        <w:tc>
          <w:tcPr>
            <w:tcW w:w="0" w:type="auto"/>
            <w:vAlign w:val="center"/>
          </w:tcPr>
          <w:p w:rsidR="00DD2A06" w:rsidRPr="00497ECF" w:rsidRDefault="00DD2A06" w:rsidP="00DD2A06">
            <w:pPr>
              <w:tabs>
                <w:tab w:val="left" w:pos="567"/>
                <w:tab w:val="left" w:pos="1134"/>
              </w:tabs>
              <w:spacing w:after="0"/>
              <w:jc w:val="right"/>
              <w:rPr>
                <w:rFonts w:cs="Arial"/>
              </w:rPr>
            </w:pPr>
          </w:p>
        </w:tc>
        <w:tc>
          <w:tcPr>
            <w:tcW w:w="0" w:type="auto"/>
            <w:vAlign w:val="center"/>
          </w:tcPr>
          <w:p w:rsidR="00DD2A06" w:rsidRPr="00497ECF" w:rsidRDefault="00DD2A06" w:rsidP="00DD2A06">
            <w:pPr>
              <w:tabs>
                <w:tab w:val="left" w:pos="567"/>
                <w:tab w:val="left" w:pos="1134"/>
              </w:tabs>
              <w:spacing w:after="0"/>
              <w:jc w:val="right"/>
              <w:rPr>
                <w:rFonts w:cs="Arial"/>
              </w:rPr>
            </w:pPr>
          </w:p>
        </w:tc>
        <w:tc>
          <w:tcPr>
            <w:tcW w:w="1145" w:type="dxa"/>
            <w:vAlign w:val="center"/>
          </w:tcPr>
          <w:p w:rsidR="00DD2A06" w:rsidRPr="00497ECF" w:rsidRDefault="00DD2A06" w:rsidP="00DD2A06">
            <w:pPr>
              <w:tabs>
                <w:tab w:val="left" w:pos="567"/>
                <w:tab w:val="left" w:pos="1134"/>
              </w:tabs>
              <w:spacing w:after="0"/>
              <w:jc w:val="right"/>
              <w:rPr>
                <w:rFonts w:cs="Arial"/>
                <w:b/>
              </w:rPr>
            </w:pPr>
          </w:p>
        </w:tc>
      </w:tr>
      <w:tr w:rsidR="00883109" w:rsidTr="00DD2A06">
        <w:trPr>
          <w:trHeight w:val="684"/>
          <w:jc w:val="center"/>
        </w:trPr>
        <w:tc>
          <w:tcPr>
            <w:tcW w:w="0" w:type="auto"/>
            <w:vAlign w:val="center"/>
          </w:tcPr>
          <w:p w:rsidR="00DD2A06" w:rsidRPr="00882976" w:rsidRDefault="00DD2A06" w:rsidP="00DD2A06">
            <w:pPr>
              <w:tabs>
                <w:tab w:val="left" w:pos="567"/>
                <w:tab w:val="left" w:pos="1134"/>
              </w:tabs>
              <w:spacing w:after="0"/>
              <w:jc w:val="left"/>
              <w:rPr>
                <w:rFonts w:cs="Arial"/>
                <w:b/>
              </w:rPr>
            </w:pPr>
            <w:r w:rsidRPr="00882976">
              <w:rPr>
                <w:rFonts w:cs="Arial"/>
                <w:b/>
              </w:rPr>
              <w:t>Impact on Financial Gap</w:t>
            </w:r>
          </w:p>
        </w:tc>
        <w:tc>
          <w:tcPr>
            <w:tcW w:w="0" w:type="auto"/>
            <w:vAlign w:val="center"/>
          </w:tcPr>
          <w:p w:rsidR="00DD2A06" w:rsidRPr="00497ECF" w:rsidRDefault="00DD2A06" w:rsidP="00DD2A06">
            <w:pPr>
              <w:tabs>
                <w:tab w:val="left" w:pos="567"/>
                <w:tab w:val="left" w:pos="1134"/>
              </w:tabs>
              <w:spacing w:after="0"/>
              <w:jc w:val="right"/>
              <w:rPr>
                <w:rFonts w:cs="Arial"/>
                <w:b/>
              </w:rPr>
            </w:pPr>
            <w:r>
              <w:rPr>
                <w:rFonts w:cs="Arial"/>
                <w:b/>
              </w:rPr>
              <w:t>3.259</w:t>
            </w:r>
          </w:p>
        </w:tc>
        <w:tc>
          <w:tcPr>
            <w:tcW w:w="0" w:type="auto"/>
            <w:vAlign w:val="center"/>
          </w:tcPr>
          <w:p w:rsidR="00DD2A06" w:rsidRPr="00497ECF" w:rsidRDefault="00DD2A06" w:rsidP="00DD2A06">
            <w:pPr>
              <w:tabs>
                <w:tab w:val="left" w:pos="567"/>
                <w:tab w:val="left" w:pos="1134"/>
              </w:tabs>
              <w:spacing w:after="0"/>
              <w:jc w:val="right"/>
              <w:rPr>
                <w:rFonts w:cs="Arial"/>
                <w:b/>
              </w:rPr>
            </w:pPr>
            <w:r>
              <w:rPr>
                <w:rFonts w:cs="Arial"/>
                <w:b/>
              </w:rPr>
              <w:t>-0.003</w:t>
            </w:r>
          </w:p>
        </w:tc>
        <w:tc>
          <w:tcPr>
            <w:tcW w:w="0" w:type="auto"/>
            <w:vAlign w:val="center"/>
          </w:tcPr>
          <w:p w:rsidR="00DD2A06" w:rsidRPr="00497ECF" w:rsidRDefault="00DD2A06" w:rsidP="00DD2A06">
            <w:pPr>
              <w:tabs>
                <w:tab w:val="left" w:pos="567"/>
                <w:tab w:val="left" w:pos="1134"/>
              </w:tabs>
              <w:spacing w:after="0"/>
              <w:jc w:val="right"/>
              <w:rPr>
                <w:rFonts w:cs="Arial"/>
                <w:b/>
              </w:rPr>
            </w:pPr>
            <w:r>
              <w:rPr>
                <w:rFonts w:cs="Arial"/>
                <w:b/>
              </w:rPr>
              <w:t>-0.063</w:t>
            </w:r>
          </w:p>
        </w:tc>
        <w:tc>
          <w:tcPr>
            <w:tcW w:w="0" w:type="auto"/>
            <w:vAlign w:val="center"/>
          </w:tcPr>
          <w:p w:rsidR="00DD2A06" w:rsidRPr="00497ECF" w:rsidRDefault="00DD2A06" w:rsidP="00DD2A06">
            <w:pPr>
              <w:tabs>
                <w:tab w:val="left" w:pos="567"/>
                <w:tab w:val="left" w:pos="1134"/>
              </w:tabs>
              <w:spacing w:after="0"/>
              <w:jc w:val="right"/>
              <w:rPr>
                <w:rFonts w:cs="Arial"/>
                <w:b/>
              </w:rPr>
            </w:pPr>
            <w:r>
              <w:rPr>
                <w:rFonts w:cs="Arial"/>
                <w:b/>
              </w:rPr>
              <w:t>-0.010</w:t>
            </w:r>
          </w:p>
        </w:tc>
        <w:tc>
          <w:tcPr>
            <w:tcW w:w="1145" w:type="dxa"/>
            <w:vAlign w:val="center"/>
          </w:tcPr>
          <w:p w:rsidR="00DD2A06" w:rsidRPr="00497ECF" w:rsidRDefault="00DD2A06" w:rsidP="00DD2A06">
            <w:pPr>
              <w:tabs>
                <w:tab w:val="left" w:pos="567"/>
                <w:tab w:val="left" w:pos="1134"/>
              </w:tabs>
              <w:spacing w:after="0"/>
              <w:jc w:val="right"/>
              <w:rPr>
                <w:rFonts w:cs="Arial"/>
                <w:b/>
              </w:rPr>
            </w:pPr>
            <w:r>
              <w:rPr>
                <w:rFonts w:cs="Arial"/>
                <w:b/>
              </w:rPr>
              <w:t>3.182</w:t>
            </w:r>
          </w:p>
        </w:tc>
      </w:tr>
    </w:tbl>
    <w:p w:rsidR="00DD2A06" w:rsidRPr="00882976" w:rsidRDefault="00DD2A06" w:rsidP="00DD2A06">
      <w:pPr>
        <w:tabs>
          <w:tab w:val="left" w:pos="567"/>
          <w:tab w:val="left" w:pos="1134"/>
        </w:tabs>
        <w:spacing w:after="0"/>
        <w:rPr>
          <w:rFonts w:cs="Arial"/>
        </w:rPr>
      </w:pPr>
    </w:p>
    <w:p w:rsidR="00DD2A06" w:rsidRPr="00016513" w:rsidRDefault="00DD2A06" w:rsidP="00DD2A06">
      <w:pPr>
        <w:pStyle w:val="ListParagraph"/>
        <w:numPr>
          <w:ilvl w:val="0"/>
          <w:numId w:val="30"/>
        </w:numPr>
        <w:spacing w:after="0"/>
        <w:rPr>
          <w:rFonts w:cs="Arial"/>
        </w:rPr>
      </w:pPr>
      <w:r w:rsidRPr="00016513">
        <w:rPr>
          <w:rFonts w:cs="Arial"/>
        </w:rPr>
        <w:t>Adult Social Care represents a large proportion of the demand</w:t>
      </w:r>
      <w:r w:rsidRPr="00016513">
        <w:rPr>
          <w:rFonts w:cs="Arial"/>
          <w:b/>
        </w:rPr>
        <w:t xml:space="preserve"> </w:t>
      </w:r>
      <w:r w:rsidRPr="00016513">
        <w:rPr>
          <w:rFonts w:cs="Arial"/>
        </w:rPr>
        <w:t>pressures.</w:t>
      </w:r>
      <w:r w:rsidRPr="00016513">
        <w:rPr>
          <w:rFonts w:cs="Arial"/>
          <w:b/>
        </w:rPr>
        <w:t xml:space="preserve">  </w:t>
      </w:r>
      <w:r w:rsidRPr="00016513">
        <w:rPr>
          <w:rFonts w:cs="Arial"/>
        </w:rPr>
        <w:t xml:space="preserve">Adult Social Care has long seen annual increases in the demand for services and the MTFS attempts to predict growth in future years largely based on reviewing current and past activity trends but also taking into account future population changes From "a social care perspective" demand covers both increasing numbers of people eligible for support and the increasing complexity of those supported reflected in higher average costs per service user. </w:t>
      </w:r>
    </w:p>
    <w:p w:rsidR="00DD2A06" w:rsidRPr="00016513" w:rsidRDefault="00DD2A06" w:rsidP="00DD2A06">
      <w:pPr>
        <w:spacing w:after="0"/>
        <w:rPr>
          <w:rFonts w:cs="Arial"/>
        </w:rPr>
      </w:pPr>
    </w:p>
    <w:p w:rsidR="00DD2A06" w:rsidRPr="004F4CD0" w:rsidRDefault="00DD2A06" w:rsidP="00DD2A06">
      <w:pPr>
        <w:spacing w:after="0"/>
        <w:ind w:left="502"/>
        <w:rPr>
          <w:rFonts w:cs="Arial"/>
        </w:rPr>
      </w:pPr>
      <w:r w:rsidRPr="004F4CD0">
        <w:rPr>
          <w:rFonts w:cs="Arial"/>
        </w:rPr>
        <w:t xml:space="preserve">All demand assumptions contained within this revised MTFS regarding Adult Social Care have been reviewed based on the most up-to-date trend analysis. </w:t>
      </w:r>
      <w:r w:rsidRPr="00A23675">
        <w:rPr>
          <w:rFonts w:cs="Arial"/>
        </w:rPr>
        <w:t>There are no changes to the forecast price increases across Adults Services at Quarter 2.</w:t>
      </w:r>
    </w:p>
    <w:p w:rsidR="00DD2A06" w:rsidRPr="00882976" w:rsidRDefault="00DD2A06" w:rsidP="00DD2A06">
      <w:pPr>
        <w:pStyle w:val="ListParagraph"/>
        <w:spacing w:after="0"/>
        <w:rPr>
          <w:rFonts w:cs="Arial"/>
        </w:rPr>
      </w:pPr>
    </w:p>
    <w:p w:rsidR="00DD2A06" w:rsidRPr="00A23675" w:rsidRDefault="00DD2A06" w:rsidP="00DD2A06">
      <w:pPr>
        <w:spacing w:after="0"/>
        <w:ind w:firstLine="502"/>
        <w:rPr>
          <w:rFonts w:cs="Arial"/>
        </w:rPr>
      </w:pPr>
      <w:r w:rsidRPr="00016513">
        <w:rPr>
          <w:rFonts w:cs="Arial"/>
        </w:rPr>
        <w:t xml:space="preserve">The </w:t>
      </w:r>
      <w:r w:rsidRPr="00A23675">
        <w:rPr>
          <w:rFonts w:cs="Arial"/>
        </w:rPr>
        <w:t>demand included in the MTFS for Adults Service is profiled as follows:</w:t>
      </w:r>
    </w:p>
    <w:p w:rsidR="00DD2A06" w:rsidRPr="00A23675" w:rsidRDefault="00DD2A06" w:rsidP="00DD2A06">
      <w:pPr>
        <w:pStyle w:val="ListParagraph"/>
        <w:numPr>
          <w:ilvl w:val="0"/>
          <w:numId w:val="33"/>
        </w:numPr>
        <w:spacing w:after="0"/>
        <w:jc w:val="left"/>
        <w:rPr>
          <w:rFonts w:cs="Arial"/>
        </w:rPr>
      </w:pPr>
      <w:r w:rsidRPr="00A23675">
        <w:rPr>
          <w:rFonts w:cs="Arial"/>
        </w:rPr>
        <w:t>2018/19 – £11.922m</w:t>
      </w:r>
    </w:p>
    <w:p w:rsidR="00DD2A06" w:rsidRPr="00A23675" w:rsidRDefault="00DD2A06" w:rsidP="00DD2A06">
      <w:pPr>
        <w:pStyle w:val="ListParagraph"/>
        <w:numPr>
          <w:ilvl w:val="0"/>
          <w:numId w:val="33"/>
        </w:numPr>
        <w:spacing w:after="0"/>
        <w:jc w:val="left"/>
        <w:rPr>
          <w:rFonts w:cs="Arial"/>
        </w:rPr>
      </w:pPr>
      <w:r w:rsidRPr="00A23675">
        <w:rPr>
          <w:rFonts w:cs="Arial"/>
        </w:rPr>
        <w:t>2019/20 - £14.642m</w:t>
      </w:r>
    </w:p>
    <w:p w:rsidR="00DD2A06" w:rsidRPr="00A23675" w:rsidRDefault="00DD2A06" w:rsidP="00DD2A06">
      <w:pPr>
        <w:pStyle w:val="ListParagraph"/>
        <w:numPr>
          <w:ilvl w:val="0"/>
          <w:numId w:val="33"/>
        </w:numPr>
        <w:spacing w:after="0"/>
        <w:jc w:val="left"/>
        <w:rPr>
          <w:rFonts w:cs="Arial"/>
        </w:rPr>
      </w:pPr>
      <w:r w:rsidRPr="00A23675">
        <w:rPr>
          <w:rFonts w:cs="Arial"/>
        </w:rPr>
        <w:t>2020/21 - £17.055m</w:t>
      </w:r>
    </w:p>
    <w:p w:rsidR="00DD2A06" w:rsidRPr="00A23675" w:rsidRDefault="00DD2A06" w:rsidP="00DD2A06">
      <w:pPr>
        <w:pStyle w:val="ListParagraph"/>
        <w:numPr>
          <w:ilvl w:val="0"/>
          <w:numId w:val="33"/>
        </w:numPr>
        <w:spacing w:after="0"/>
        <w:jc w:val="left"/>
        <w:rPr>
          <w:rFonts w:cs="Arial"/>
        </w:rPr>
      </w:pPr>
      <w:r w:rsidRPr="00A23675">
        <w:rPr>
          <w:rFonts w:cs="Arial"/>
        </w:rPr>
        <w:t>2021/22 - £10.834m</w:t>
      </w:r>
    </w:p>
    <w:p w:rsidR="00DD2A06" w:rsidRPr="00882976" w:rsidRDefault="00DD2A06" w:rsidP="00DD2A06">
      <w:pPr>
        <w:pStyle w:val="ListParagraph"/>
        <w:spacing w:after="0"/>
        <w:ind w:left="2160"/>
        <w:jc w:val="left"/>
        <w:rPr>
          <w:rFonts w:cs="Arial"/>
        </w:rPr>
      </w:pPr>
    </w:p>
    <w:p w:rsidR="00DD2A06" w:rsidRDefault="00DD2A06" w:rsidP="00DD2A06">
      <w:pPr>
        <w:pStyle w:val="ListParagraph"/>
        <w:numPr>
          <w:ilvl w:val="0"/>
          <w:numId w:val="26"/>
        </w:numPr>
        <w:spacing w:after="0"/>
        <w:rPr>
          <w:rFonts w:cs="Arial"/>
        </w:rPr>
      </w:pPr>
      <w:r w:rsidRPr="00410447">
        <w:rPr>
          <w:rFonts w:cs="Arial"/>
        </w:rPr>
        <w:t xml:space="preserve">The cost of Children's Social Care continues to experience increasing demand and has been increased again as part of this </w:t>
      </w:r>
      <w:r>
        <w:rPr>
          <w:rFonts w:cs="Arial"/>
        </w:rPr>
        <w:t>update</w:t>
      </w:r>
      <w:r w:rsidRPr="00410447">
        <w:rPr>
          <w:rFonts w:cs="Arial"/>
        </w:rPr>
        <w:t xml:space="preserve"> of the MTFS</w:t>
      </w:r>
      <w:r>
        <w:rPr>
          <w:rFonts w:cs="Arial"/>
        </w:rPr>
        <w:t xml:space="preserve">. </w:t>
      </w:r>
      <w:r w:rsidRPr="00410447">
        <w:rPr>
          <w:rFonts w:cs="Arial"/>
        </w:rPr>
        <w:t xml:space="preserve">The forecast </w:t>
      </w:r>
      <w:r w:rsidRPr="00A23675">
        <w:rPr>
          <w:rFonts w:cs="Arial"/>
        </w:rPr>
        <w:t>requirement is £</w:t>
      </w:r>
      <w:r>
        <w:rPr>
          <w:rFonts w:cs="Arial"/>
        </w:rPr>
        <w:t>19.120</w:t>
      </w:r>
      <w:r w:rsidRPr="00A23675">
        <w:rPr>
          <w:rFonts w:cs="Arial"/>
        </w:rPr>
        <w:t>m over the</w:t>
      </w:r>
      <w:r>
        <w:rPr>
          <w:rFonts w:cs="Arial"/>
        </w:rPr>
        <w:t xml:space="preserve"> next 4 years</w:t>
      </w:r>
      <w:r w:rsidRPr="00410447">
        <w:rPr>
          <w:rFonts w:cs="Arial"/>
        </w:rPr>
        <w:t xml:space="preserve">. This is in addition to significant additional budget that the service has been given to support improvements </w:t>
      </w:r>
      <w:r>
        <w:rPr>
          <w:rFonts w:cs="Arial"/>
        </w:rPr>
        <w:t xml:space="preserve">following the Ofsted inspection in both 2016/17 and 2017/18, but  an assumption is also made that demand will plateau in future years, with a reducing demand </w:t>
      </w:r>
      <w:r w:rsidRPr="00B975E6">
        <w:rPr>
          <w:rFonts w:cs="Arial"/>
        </w:rPr>
        <w:t>increase built into future years</w:t>
      </w:r>
      <w:r>
        <w:rPr>
          <w:rFonts w:cs="Arial"/>
        </w:rPr>
        <w:t>'</w:t>
      </w:r>
      <w:r w:rsidRPr="00B975E6">
        <w:rPr>
          <w:rFonts w:cs="Arial"/>
        </w:rPr>
        <w:t xml:space="preserve"> budget</w:t>
      </w:r>
      <w:r>
        <w:rPr>
          <w:rFonts w:cs="Arial"/>
        </w:rPr>
        <w:t>s</w:t>
      </w:r>
      <w:r w:rsidRPr="00B975E6">
        <w:rPr>
          <w:rFonts w:cs="Arial"/>
        </w:rPr>
        <w:t>. In previous MTFS reports an increase has</w:t>
      </w:r>
      <w:r>
        <w:rPr>
          <w:rFonts w:cs="Arial"/>
        </w:rPr>
        <w:t xml:space="preserve"> only been included for the next financial year, whereas in this revision 4 years of forecast demand levels has been included. This forecast is based on current demand levels and uses benchmarking information from other County Council's and national data in relation to Children Looked After (CLA) budgets to project future funding requirements. </w:t>
      </w:r>
    </w:p>
    <w:p w:rsidR="00DD2A06" w:rsidRDefault="00DD2A06" w:rsidP="00DD2A06">
      <w:pPr>
        <w:spacing w:after="0"/>
        <w:rPr>
          <w:rFonts w:cs="Arial"/>
        </w:rPr>
      </w:pPr>
    </w:p>
    <w:p w:rsidR="00DD2A06" w:rsidRPr="00A23675" w:rsidRDefault="00DD2A06" w:rsidP="00DD2A06">
      <w:pPr>
        <w:spacing w:after="0"/>
        <w:ind w:left="502"/>
        <w:rPr>
          <w:rFonts w:cs="Arial"/>
        </w:rPr>
      </w:pPr>
      <w:r>
        <w:rPr>
          <w:rFonts w:cs="Arial"/>
        </w:rPr>
        <w:t xml:space="preserve">The increase that has been included in the MTFS at Quarter 2 specifically relates to additional levels of demand relating to Special Guardianship Orders (SGOs). This has resulted in increased demand of £2.062m being included in 2018/19. It would be expected that an increase in SGOs would result in lower placement costs in other placements (such as residential). However, due to increases in numbers of Children Looked After we are not able to reflect this offsetting reduction as part of this MTFS. This will continue to be monitored and reviewed. </w:t>
      </w:r>
    </w:p>
    <w:p w:rsidR="00DD2A06" w:rsidRDefault="00DD2A06" w:rsidP="00DD2A06">
      <w:pPr>
        <w:spacing w:after="0"/>
        <w:rPr>
          <w:rFonts w:cs="Arial"/>
        </w:rPr>
      </w:pPr>
    </w:p>
    <w:p w:rsidR="00DD2A06" w:rsidRDefault="00DD2A06" w:rsidP="00DD2A06">
      <w:pPr>
        <w:spacing w:after="0"/>
        <w:ind w:left="502"/>
        <w:rPr>
          <w:rFonts w:cs="Arial"/>
        </w:rPr>
      </w:pPr>
      <w:r w:rsidRPr="00016513">
        <w:rPr>
          <w:rFonts w:cs="Arial"/>
        </w:rPr>
        <w:t>The demand</w:t>
      </w:r>
      <w:r>
        <w:rPr>
          <w:rFonts w:cs="Arial"/>
        </w:rPr>
        <w:t xml:space="preserve"> included in the MTFS for Children's Social Care </w:t>
      </w:r>
      <w:r w:rsidRPr="00016513">
        <w:rPr>
          <w:rFonts w:cs="Arial"/>
        </w:rPr>
        <w:t>is profiled as follows</w:t>
      </w:r>
      <w:r>
        <w:rPr>
          <w:rFonts w:cs="Arial"/>
        </w:rPr>
        <w:t>:</w:t>
      </w:r>
    </w:p>
    <w:p w:rsidR="00DD2A06" w:rsidRPr="00A23675" w:rsidRDefault="00DD2A06" w:rsidP="00DD2A06">
      <w:pPr>
        <w:pStyle w:val="ListParagraph"/>
        <w:numPr>
          <w:ilvl w:val="0"/>
          <w:numId w:val="31"/>
        </w:numPr>
        <w:spacing w:after="0"/>
        <w:rPr>
          <w:rFonts w:cs="Arial"/>
        </w:rPr>
      </w:pPr>
      <w:r>
        <w:rPr>
          <w:rFonts w:cs="Arial"/>
        </w:rPr>
        <w:t>2018/19 - £9.984</w:t>
      </w:r>
      <w:r w:rsidRPr="00A23675">
        <w:rPr>
          <w:rFonts w:cs="Arial"/>
        </w:rPr>
        <w:t>m</w:t>
      </w:r>
    </w:p>
    <w:p w:rsidR="00DD2A06" w:rsidRPr="00A23675" w:rsidRDefault="00DD2A06" w:rsidP="00DD2A06">
      <w:pPr>
        <w:pStyle w:val="ListParagraph"/>
        <w:numPr>
          <w:ilvl w:val="0"/>
          <w:numId w:val="31"/>
        </w:numPr>
        <w:spacing w:after="0"/>
        <w:rPr>
          <w:rFonts w:cs="Arial"/>
        </w:rPr>
      </w:pPr>
      <w:r>
        <w:rPr>
          <w:rFonts w:cs="Arial"/>
        </w:rPr>
        <w:t>2019/20 – £6.502</w:t>
      </w:r>
      <w:r w:rsidRPr="00A23675">
        <w:rPr>
          <w:rFonts w:cs="Arial"/>
        </w:rPr>
        <w:t>m</w:t>
      </w:r>
    </w:p>
    <w:p w:rsidR="00DD2A06" w:rsidRPr="00A23675" w:rsidRDefault="00DD2A06" w:rsidP="00DD2A06">
      <w:pPr>
        <w:pStyle w:val="ListParagraph"/>
        <w:numPr>
          <w:ilvl w:val="0"/>
          <w:numId w:val="31"/>
        </w:numPr>
        <w:spacing w:after="0"/>
        <w:rPr>
          <w:rFonts w:cs="Arial"/>
        </w:rPr>
      </w:pPr>
      <w:r w:rsidRPr="00A23675">
        <w:rPr>
          <w:rFonts w:cs="Arial"/>
        </w:rPr>
        <w:t>2020/21 - £1.237m</w:t>
      </w:r>
    </w:p>
    <w:p w:rsidR="00DD2A06" w:rsidRPr="00A23675" w:rsidRDefault="00DD2A06" w:rsidP="00DD2A06">
      <w:pPr>
        <w:pStyle w:val="ListParagraph"/>
        <w:numPr>
          <w:ilvl w:val="0"/>
          <w:numId w:val="31"/>
        </w:numPr>
        <w:spacing w:after="0"/>
        <w:rPr>
          <w:rFonts w:cs="Arial"/>
        </w:rPr>
      </w:pPr>
      <w:r w:rsidRPr="00A23675">
        <w:rPr>
          <w:rFonts w:cs="Arial"/>
        </w:rPr>
        <w:t>2021/22 - £1.397m</w:t>
      </w:r>
    </w:p>
    <w:p w:rsidR="00DD2A06" w:rsidRPr="00F37439" w:rsidRDefault="00DD2A06" w:rsidP="00DD2A06">
      <w:pPr>
        <w:spacing w:after="0"/>
        <w:rPr>
          <w:rFonts w:cs="Arial"/>
        </w:rPr>
      </w:pPr>
    </w:p>
    <w:p w:rsidR="00DD2A06" w:rsidRPr="00A23675" w:rsidRDefault="00DD2A06" w:rsidP="00DD2A06">
      <w:pPr>
        <w:pStyle w:val="ListParagraph"/>
        <w:spacing w:after="0"/>
        <w:ind w:left="502"/>
        <w:rPr>
          <w:rFonts w:cs="Arial"/>
        </w:rPr>
      </w:pPr>
      <w:r w:rsidRPr="00882976">
        <w:rPr>
          <w:rFonts w:cs="Arial"/>
        </w:rPr>
        <w:t xml:space="preserve">A Finance Sub-Group has been established to specifically focus on the cost drivers, unit costs and financial analysis of the costs and demand levels being </w:t>
      </w:r>
      <w:r w:rsidRPr="00A23675">
        <w:rPr>
          <w:rFonts w:cs="Arial"/>
        </w:rPr>
        <w:t xml:space="preserve">experienced in Children's Social Care, with their findings being reported back to </w:t>
      </w:r>
      <w:r w:rsidRPr="00B975E6">
        <w:rPr>
          <w:rFonts w:cs="Arial"/>
        </w:rPr>
        <w:t>the 0-25 Board</w:t>
      </w:r>
      <w:r>
        <w:rPr>
          <w:rFonts w:cs="Arial"/>
        </w:rPr>
        <w:t xml:space="preserve"> (now renamed the Improvement and Accountability Board)</w:t>
      </w:r>
      <w:r w:rsidRPr="00B975E6">
        <w:rPr>
          <w:rFonts w:cs="Arial"/>
        </w:rPr>
        <w:t>.</w:t>
      </w:r>
      <w:r w:rsidRPr="00A23675">
        <w:rPr>
          <w:rFonts w:cs="Arial"/>
        </w:rPr>
        <w:t xml:space="preserve"> </w:t>
      </w:r>
    </w:p>
    <w:p w:rsidR="00DD2A06" w:rsidRPr="00B975E6" w:rsidRDefault="00DD2A06" w:rsidP="00DD2A06">
      <w:pPr>
        <w:spacing w:after="0"/>
        <w:jc w:val="left"/>
        <w:rPr>
          <w:rFonts w:cs="Arial"/>
        </w:rPr>
      </w:pPr>
    </w:p>
    <w:p w:rsidR="00DD2A06" w:rsidRPr="00274BDF" w:rsidRDefault="00DD2A06" w:rsidP="00DD2A06">
      <w:pPr>
        <w:pStyle w:val="ListParagraph"/>
        <w:numPr>
          <w:ilvl w:val="0"/>
          <w:numId w:val="26"/>
        </w:numPr>
        <w:spacing w:after="0"/>
        <w:rPr>
          <w:rFonts w:cs="Arial"/>
        </w:rPr>
      </w:pPr>
      <w:r w:rsidRPr="00B975E6">
        <w:rPr>
          <w:rFonts w:cs="Arial"/>
        </w:rPr>
        <w:t xml:space="preserve">The revised MTFS continues to include a significant amount in relation to Waste Services demand pressures, however this has reduced as a result of decreased forecasts for residual waste arisings with 3.2% currently being forecast (compared to a previously assumed 5.4%). The budget requirement for waste </w:t>
      </w:r>
      <w:r>
        <w:rPr>
          <w:rFonts w:cs="Arial"/>
        </w:rPr>
        <w:t xml:space="preserve">is forecast to be £4.937m over the next 4 years, and has remained unchanged from the Quarter 1 MTFS. </w:t>
      </w:r>
    </w:p>
    <w:p w:rsidR="00DD2A06" w:rsidRPr="00DD5431" w:rsidRDefault="00DD2A06" w:rsidP="00DD2A06">
      <w:pPr>
        <w:spacing w:after="0"/>
        <w:rPr>
          <w:rFonts w:cs="Arial"/>
        </w:rPr>
      </w:pPr>
    </w:p>
    <w:p w:rsidR="00DD2A06" w:rsidRPr="00423E1E" w:rsidRDefault="00DD2A06" w:rsidP="00DD2A06">
      <w:pPr>
        <w:spacing w:after="0"/>
        <w:rPr>
          <w:rFonts w:cs="Arial"/>
          <w:b/>
        </w:rPr>
      </w:pPr>
      <w:r w:rsidRPr="00423E1E">
        <w:rPr>
          <w:rFonts w:cs="Arial"/>
          <w:b/>
        </w:rPr>
        <w:t>3.4 Other</w:t>
      </w:r>
    </w:p>
    <w:p w:rsidR="00DD2A06" w:rsidRPr="00882976" w:rsidRDefault="00DD2A06" w:rsidP="00DD2A06">
      <w:pPr>
        <w:spacing w:after="0"/>
        <w:rPr>
          <w:rFonts w:cs="Arial"/>
          <w:highlight w:val="yellow"/>
        </w:rPr>
      </w:pPr>
    </w:p>
    <w:p w:rsidR="00DD2A06" w:rsidRDefault="00DD2A06" w:rsidP="00DD2A06">
      <w:pPr>
        <w:spacing w:after="0"/>
        <w:rPr>
          <w:rFonts w:cs="Arial"/>
        </w:rPr>
      </w:pPr>
      <w:r>
        <w:rPr>
          <w:rFonts w:cs="Arial"/>
        </w:rPr>
        <w:t xml:space="preserve">This section of the MTFS has seen an increased budget </w:t>
      </w:r>
      <w:r w:rsidRPr="00DD5431">
        <w:rPr>
          <w:rFonts w:cs="Arial"/>
        </w:rPr>
        <w:t xml:space="preserve">requirement of </w:t>
      </w:r>
      <w:r>
        <w:rPr>
          <w:rFonts w:cs="Arial"/>
        </w:rPr>
        <w:t>£1.857</w:t>
      </w:r>
      <w:r w:rsidRPr="00DD5431">
        <w:rPr>
          <w:rFonts w:cs="Arial"/>
        </w:rPr>
        <w:t>m</w:t>
      </w:r>
      <w:r>
        <w:rPr>
          <w:rFonts w:cs="Arial"/>
        </w:rPr>
        <w:t xml:space="preserve"> over the next 4 years compared to the requirement forecast within the MTFS at Quarter 1. The majority of this relates to an increase in the capital financing budget as a result of revised borrowing estimates within the capital programme (an additional £3.016m has been included over the period of the MTFS). In addition, a Cabinet report relating to support for Marketing Lancashire that was agreed at Cabinet in September has been included at Quarter 2 (£0.400m) with an offsetting adjustment for the reintrodu</w:t>
      </w:r>
      <w:r w:rsidR="007819A7">
        <w:rPr>
          <w:rFonts w:cs="Arial"/>
        </w:rPr>
        <w:t>ction of the Bus Service Operators G</w:t>
      </w:r>
      <w:r>
        <w:rPr>
          <w:rFonts w:cs="Arial"/>
        </w:rPr>
        <w:t>rant</w:t>
      </w:r>
      <w:r w:rsidR="007819A7">
        <w:rPr>
          <w:rFonts w:cs="Arial"/>
        </w:rPr>
        <w:t xml:space="preserve"> (BSOG)</w:t>
      </w:r>
      <w:r>
        <w:rPr>
          <w:rFonts w:cs="Arial"/>
        </w:rPr>
        <w:t xml:space="preserve"> (£1.559m).</w:t>
      </w:r>
    </w:p>
    <w:p w:rsidR="00DD2A06" w:rsidRPr="00882976" w:rsidRDefault="00DD2A06" w:rsidP="00DD2A06">
      <w:pPr>
        <w:tabs>
          <w:tab w:val="left" w:pos="567"/>
          <w:tab w:val="left" w:pos="1134"/>
        </w:tabs>
        <w:spacing w:after="0"/>
        <w:rPr>
          <w:rFonts w:cs="Arial"/>
        </w:rPr>
      </w:pPr>
    </w:p>
    <w:p w:rsidR="00DD2A06" w:rsidRDefault="00DD2A06" w:rsidP="00DD2A06">
      <w:pPr>
        <w:tabs>
          <w:tab w:val="left" w:pos="567"/>
          <w:tab w:val="left" w:pos="1134"/>
        </w:tabs>
        <w:spacing w:after="0"/>
        <w:rPr>
          <w:rFonts w:cs="Arial"/>
          <w:b/>
        </w:rPr>
      </w:pPr>
      <w:r>
        <w:rPr>
          <w:rFonts w:cs="Arial"/>
          <w:b/>
        </w:rPr>
        <w:t>3.5</w:t>
      </w:r>
      <w:r w:rsidRPr="00882976">
        <w:rPr>
          <w:rFonts w:cs="Arial"/>
          <w:b/>
        </w:rPr>
        <w:t xml:space="preserve"> </w:t>
      </w:r>
      <w:r>
        <w:rPr>
          <w:rFonts w:cs="Arial"/>
          <w:b/>
        </w:rPr>
        <w:t>Undeliverable Savings</w:t>
      </w:r>
    </w:p>
    <w:p w:rsidR="00DD2A06" w:rsidRDefault="00DD2A06" w:rsidP="00DD2A06">
      <w:pPr>
        <w:tabs>
          <w:tab w:val="left" w:pos="567"/>
          <w:tab w:val="left" w:pos="1134"/>
        </w:tabs>
        <w:spacing w:after="0"/>
        <w:rPr>
          <w:rFonts w:cs="Arial"/>
        </w:rPr>
      </w:pPr>
    </w:p>
    <w:p w:rsidR="00DD2A06" w:rsidRPr="00882976" w:rsidRDefault="00DD2A06" w:rsidP="00DD2A06">
      <w:pPr>
        <w:tabs>
          <w:tab w:val="left" w:pos="567"/>
          <w:tab w:val="left" w:pos="1134"/>
        </w:tabs>
        <w:spacing w:after="0"/>
        <w:rPr>
          <w:rFonts w:cs="Arial"/>
        </w:rPr>
      </w:pPr>
      <w:r w:rsidRPr="00A20C0C">
        <w:rPr>
          <w:rFonts w:cs="Arial"/>
        </w:rPr>
        <w:t>The savings previously agreed are constantly under review with the current remaining programme totalling c£54m in 2017/18 and beyond. Whilst the majority of savings are being delivered within the timeframes</w:t>
      </w:r>
      <w:r>
        <w:rPr>
          <w:rFonts w:cs="Arial"/>
        </w:rPr>
        <w:t xml:space="preserve"> identified, and </w:t>
      </w:r>
      <w:r w:rsidRPr="00A20C0C">
        <w:rPr>
          <w:rFonts w:cs="Arial"/>
        </w:rPr>
        <w:t xml:space="preserve">in some cases earlier than planned, </w:t>
      </w:r>
      <w:r>
        <w:rPr>
          <w:rFonts w:cs="Arial"/>
        </w:rPr>
        <w:t xml:space="preserve">at Quarter 2 </w:t>
      </w:r>
      <w:r w:rsidRPr="00A20C0C">
        <w:rPr>
          <w:rFonts w:cs="Arial"/>
        </w:rPr>
        <w:t xml:space="preserve">there </w:t>
      </w:r>
      <w:r>
        <w:rPr>
          <w:rFonts w:cs="Arial"/>
        </w:rPr>
        <w:t xml:space="preserve">is an additional budget pressure </w:t>
      </w:r>
      <w:r w:rsidRPr="00A20C0C">
        <w:rPr>
          <w:rFonts w:cs="Arial"/>
        </w:rPr>
        <w:t>where it has now been identified that the saving</w:t>
      </w:r>
      <w:r>
        <w:rPr>
          <w:rFonts w:cs="Arial"/>
        </w:rPr>
        <w:t xml:space="preserve"> for bus stations relating to the charging of departure fees, and is not fully deliverable which totals £0.490m in 2018/19. </w:t>
      </w:r>
    </w:p>
    <w:p w:rsidR="00DD2A06" w:rsidRDefault="00DD2A06" w:rsidP="00DD2A06">
      <w:pPr>
        <w:tabs>
          <w:tab w:val="left" w:pos="567"/>
          <w:tab w:val="left" w:pos="1134"/>
        </w:tabs>
        <w:spacing w:after="0"/>
        <w:rPr>
          <w:rFonts w:cs="Arial"/>
          <w:b/>
        </w:rPr>
      </w:pPr>
    </w:p>
    <w:p w:rsidR="00DD2A06" w:rsidRDefault="00DD2A06" w:rsidP="00DD2A06">
      <w:pPr>
        <w:tabs>
          <w:tab w:val="left" w:pos="567"/>
          <w:tab w:val="left" w:pos="1134"/>
        </w:tabs>
        <w:spacing w:after="0"/>
        <w:rPr>
          <w:rFonts w:cs="Arial"/>
          <w:b/>
        </w:rPr>
      </w:pPr>
      <w:r>
        <w:rPr>
          <w:rFonts w:cs="Arial"/>
          <w:b/>
        </w:rPr>
        <w:t>3.6 Additional Savings</w:t>
      </w:r>
    </w:p>
    <w:p w:rsidR="00DD2A06" w:rsidRDefault="00DD2A06" w:rsidP="00DD2A06">
      <w:pPr>
        <w:tabs>
          <w:tab w:val="left" w:pos="567"/>
          <w:tab w:val="left" w:pos="1134"/>
        </w:tabs>
        <w:spacing w:after="0"/>
        <w:rPr>
          <w:rFonts w:cs="Arial"/>
          <w:b/>
        </w:rPr>
      </w:pPr>
    </w:p>
    <w:p w:rsidR="00DD2A06" w:rsidRPr="006F083C" w:rsidRDefault="00DD2A06" w:rsidP="00DD2A06">
      <w:pPr>
        <w:tabs>
          <w:tab w:val="left" w:pos="567"/>
          <w:tab w:val="left" w:pos="1134"/>
        </w:tabs>
        <w:spacing w:after="0"/>
        <w:rPr>
          <w:rFonts w:cs="Arial"/>
        </w:rPr>
      </w:pPr>
      <w:r w:rsidRPr="006F083C">
        <w:rPr>
          <w:rFonts w:cs="Arial"/>
        </w:rPr>
        <w:t xml:space="preserve">As the County Council continues to have a significant and increasing financial gap over future financial years a detailed review has been completed of service budgets. </w:t>
      </w:r>
      <w:r>
        <w:rPr>
          <w:rFonts w:cs="Arial"/>
        </w:rPr>
        <w:t xml:space="preserve">This </w:t>
      </w:r>
      <w:r w:rsidRPr="006F083C">
        <w:rPr>
          <w:rFonts w:cs="Arial"/>
        </w:rPr>
        <w:t>resulted in initial savings totalling £45.628m (over the next 3 financial years) being included</w:t>
      </w:r>
      <w:r>
        <w:rPr>
          <w:rFonts w:cs="Arial"/>
        </w:rPr>
        <w:t xml:space="preserve"> and agreed as part of the MTFS reported to Cabinet in September 2017. </w:t>
      </w:r>
      <w:r w:rsidRPr="006F083C">
        <w:rPr>
          <w:rFonts w:cs="Arial"/>
        </w:rPr>
        <w:t xml:space="preserve"> </w:t>
      </w:r>
    </w:p>
    <w:p w:rsidR="00DD2A06" w:rsidRPr="006F083C" w:rsidRDefault="00DD2A06" w:rsidP="00DD2A06">
      <w:pPr>
        <w:tabs>
          <w:tab w:val="left" w:pos="567"/>
          <w:tab w:val="left" w:pos="1134"/>
        </w:tabs>
        <w:spacing w:after="0"/>
        <w:rPr>
          <w:rFonts w:cs="Arial"/>
        </w:rPr>
      </w:pPr>
    </w:p>
    <w:p w:rsidR="00DD2A06" w:rsidRPr="006F083C" w:rsidRDefault="00DD2A06" w:rsidP="00DD2A06">
      <w:pPr>
        <w:tabs>
          <w:tab w:val="left" w:pos="567"/>
          <w:tab w:val="left" w:pos="1134"/>
        </w:tabs>
        <w:spacing w:after="0"/>
        <w:rPr>
          <w:rFonts w:cs="Arial"/>
        </w:rPr>
      </w:pPr>
      <w:r>
        <w:rPr>
          <w:rFonts w:cs="Arial"/>
        </w:rPr>
        <w:t>This was</w:t>
      </w:r>
      <w:r w:rsidRPr="006F083C">
        <w:rPr>
          <w:rFonts w:cs="Arial"/>
        </w:rPr>
        <w:t xml:space="preserve"> the first phase of savings that will be put forward with further phases to follow</w:t>
      </w:r>
      <w:r>
        <w:rPr>
          <w:rFonts w:cs="Arial"/>
        </w:rPr>
        <w:t xml:space="preserve"> at future Cabinet meetings</w:t>
      </w:r>
      <w:r w:rsidRPr="006F083C">
        <w:rPr>
          <w:rFonts w:cs="Arial"/>
        </w:rPr>
        <w:t>. These savings are deliverable from 1</w:t>
      </w:r>
      <w:r w:rsidRPr="006F083C">
        <w:rPr>
          <w:rFonts w:cs="Arial"/>
          <w:vertAlign w:val="superscript"/>
        </w:rPr>
        <w:t>st</w:t>
      </w:r>
      <w:r w:rsidRPr="006F083C">
        <w:rPr>
          <w:rFonts w:cs="Arial"/>
        </w:rPr>
        <w:t xml:space="preserve"> April 2018, with some savings reflecting work that is already underway within services. Many of these savings are relatively straightforward to deliver with some already being shown as underspending areas within 2017/18 budget monitoring. These savings primarily cover efficiencies, recurrent underspends, income generation and service changes which are not expected to have a negative impact on front line service delivery. </w:t>
      </w:r>
    </w:p>
    <w:p w:rsidR="00DD2A06" w:rsidRDefault="00DD2A06" w:rsidP="00DD2A06">
      <w:pPr>
        <w:tabs>
          <w:tab w:val="left" w:pos="567"/>
          <w:tab w:val="left" w:pos="1134"/>
        </w:tabs>
        <w:spacing w:after="0"/>
        <w:rPr>
          <w:rFonts w:cs="Arial"/>
        </w:rPr>
      </w:pPr>
    </w:p>
    <w:p w:rsidR="00DD2A06" w:rsidRDefault="00DD2A06" w:rsidP="00DD2A06">
      <w:pPr>
        <w:tabs>
          <w:tab w:val="left" w:pos="567"/>
          <w:tab w:val="left" w:pos="1134"/>
        </w:tabs>
        <w:spacing w:after="0"/>
        <w:rPr>
          <w:rFonts w:cs="Arial"/>
        </w:rPr>
      </w:pPr>
      <w:r w:rsidRPr="00675D5A">
        <w:rPr>
          <w:rFonts w:cs="Arial"/>
        </w:rPr>
        <w:t xml:space="preserve">The MTFS at Quarter </w:t>
      </w:r>
      <w:r>
        <w:rPr>
          <w:rFonts w:cs="Arial"/>
        </w:rPr>
        <w:t xml:space="preserve">2 includes additional </w:t>
      </w:r>
      <w:r w:rsidRPr="00675D5A">
        <w:rPr>
          <w:rFonts w:cs="Arial"/>
        </w:rPr>
        <w:t>savings</w:t>
      </w:r>
      <w:r>
        <w:rPr>
          <w:rFonts w:cs="Arial"/>
        </w:rPr>
        <w:t xml:space="preserve"> totalling £12.577</w:t>
      </w:r>
      <w:r w:rsidRPr="00675D5A">
        <w:rPr>
          <w:rFonts w:cs="Arial"/>
        </w:rPr>
        <w:t xml:space="preserve">m. </w:t>
      </w:r>
    </w:p>
    <w:p w:rsidR="00DD2A06" w:rsidRDefault="00DD2A06" w:rsidP="00DD2A06">
      <w:pPr>
        <w:tabs>
          <w:tab w:val="left" w:pos="567"/>
          <w:tab w:val="left" w:pos="1134"/>
        </w:tabs>
        <w:spacing w:after="0"/>
        <w:rPr>
          <w:rFonts w:cs="Arial"/>
        </w:rPr>
      </w:pPr>
    </w:p>
    <w:p w:rsidR="00DD2A06" w:rsidRDefault="00DD2A06" w:rsidP="00DD2A06">
      <w:pPr>
        <w:tabs>
          <w:tab w:val="left" w:pos="567"/>
          <w:tab w:val="left" w:pos="1134"/>
        </w:tabs>
        <w:spacing w:after="0"/>
        <w:rPr>
          <w:rFonts w:cs="Arial"/>
        </w:rPr>
      </w:pPr>
      <w:r>
        <w:rPr>
          <w:rFonts w:cs="Arial"/>
        </w:rPr>
        <w:t xml:space="preserve">A saving relating to applying a 2% vacancy factor across the County Council's staffing budget has been included in Appendix D and the MTFS, which would result in a saving of £6.380m. Staff are currently budgeted for based on a full establishment, however many services are currently forecast to underspend on staffing as a result of staff turnover.  A detailed analysis of turnover levels across services supports the introduction of a 2% vacancy factor being introduced across service staffing budgets. As most services are currently operating with vacancies on a day to day basis it is not expected that this will impact upon current levels of service delivery. </w:t>
      </w:r>
    </w:p>
    <w:p w:rsidR="00DD2A06" w:rsidRDefault="00DD2A06" w:rsidP="00DD2A06">
      <w:pPr>
        <w:tabs>
          <w:tab w:val="left" w:pos="567"/>
          <w:tab w:val="left" w:pos="1134"/>
        </w:tabs>
        <w:spacing w:after="0"/>
        <w:rPr>
          <w:rFonts w:cs="Arial"/>
        </w:rPr>
      </w:pPr>
    </w:p>
    <w:p w:rsidR="00DD2A06" w:rsidRDefault="00DD2A06" w:rsidP="00DD2A06">
      <w:pPr>
        <w:tabs>
          <w:tab w:val="left" w:pos="567"/>
          <w:tab w:val="left" w:pos="1134"/>
        </w:tabs>
        <w:spacing w:after="0"/>
        <w:rPr>
          <w:rFonts w:cs="Arial"/>
        </w:rPr>
      </w:pPr>
      <w:r>
        <w:rPr>
          <w:rFonts w:cs="Arial"/>
        </w:rPr>
        <w:t xml:space="preserve">A saving of c£1m has been included in relation to the proposal contained in Appendix D that the Council consider ceasing the current commitment to Foundation Living Wage (FLW) pay rates for Council staff.  If agreed, it is proposed that implementation would be phased, with members of staff currently paid the FLW rate having their current hourly rate effectively frozen until annual increases in the National Living Wage (NLW) lead to it meeting and ultimately exceeding the current FLW rate. This would result in a saving over 2018/19 and 2019/20 until the NLW rate meets and exceeds the FLW rate in April 2020. </w:t>
      </w:r>
    </w:p>
    <w:p w:rsidR="00DD2A06" w:rsidRDefault="00DD2A06" w:rsidP="00DD2A06">
      <w:pPr>
        <w:tabs>
          <w:tab w:val="left" w:pos="567"/>
          <w:tab w:val="left" w:pos="1134"/>
        </w:tabs>
        <w:spacing w:after="0"/>
        <w:rPr>
          <w:rFonts w:cs="Arial"/>
        </w:rPr>
      </w:pPr>
    </w:p>
    <w:p w:rsidR="00DD2A06" w:rsidRDefault="00DD2A06" w:rsidP="00DD2A06">
      <w:pPr>
        <w:tabs>
          <w:tab w:val="left" w:pos="567"/>
          <w:tab w:val="left" w:pos="1134"/>
        </w:tabs>
        <w:spacing w:after="0"/>
        <w:rPr>
          <w:rFonts w:cs="Arial"/>
        </w:rPr>
      </w:pPr>
      <w:r>
        <w:rPr>
          <w:rFonts w:cs="Arial"/>
        </w:rPr>
        <w:t xml:space="preserve">Appendix D also includes a proposal to include a saving of £5.000m in relation to changes in terms and conditions of employment for staff. Given that the overall Council staffing budget is c£319m (a very significant proportion of the overall County Council budget) and in the context of the serious  financial challenge that the Council  is facing, it is necessary to look at ways of reducing staff costs in ways which, wherever possible, reduce the risk of redundancy.  If the proposal is agreed, discussions would  be held with the recognised Trade Unions regarding development of  proposals which would  deliver the £5m saving.  </w:t>
      </w:r>
    </w:p>
    <w:p w:rsidR="00DD2A06" w:rsidRDefault="00DD2A06" w:rsidP="00DD2A06">
      <w:pPr>
        <w:tabs>
          <w:tab w:val="left" w:pos="567"/>
          <w:tab w:val="left" w:pos="1134"/>
        </w:tabs>
        <w:spacing w:after="0"/>
        <w:rPr>
          <w:rFonts w:cs="Arial"/>
        </w:rPr>
      </w:pPr>
    </w:p>
    <w:p w:rsidR="00DD2A06" w:rsidRPr="006F083C" w:rsidRDefault="00DD2A06" w:rsidP="00DD2A06">
      <w:pPr>
        <w:tabs>
          <w:tab w:val="left" w:pos="567"/>
          <w:tab w:val="left" w:pos="1134"/>
        </w:tabs>
        <w:spacing w:after="0"/>
        <w:rPr>
          <w:rFonts w:cs="Arial"/>
        </w:rPr>
      </w:pPr>
      <w:r w:rsidRPr="00675D5A">
        <w:rPr>
          <w:rFonts w:cs="Arial"/>
        </w:rPr>
        <w:t xml:space="preserve">Appendix D </w:t>
      </w:r>
      <w:r>
        <w:rPr>
          <w:rFonts w:cs="Arial"/>
        </w:rPr>
        <w:t xml:space="preserve">provides further details of these proposals. </w:t>
      </w:r>
      <w:r w:rsidRPr="006F083C">
        <w:rPr>
          <w:rFonts w:cs="Arial"/>
        </w:rPr>
        <w:t xml:space="preserve"> </w:t>
      </w:r>
    </w:p>
    <w:p w:rsidR="00DD2A06" w:rsidRPr="006F083C" w:rsidRDefault="00DD2A06" w:rsidP="00DD2A06">
      <w:pPr>
        <w:tabs>
          <w:tab w:val="left" w:pos="567"/>
          <w:tab w:val="left" w:pos="1134"/>
        </w:tabs>
        <w:spacing w:after="0"/>
        <w:rPr>
          <w:rFonts w:cs="Arial"/>
        </w:rPr>
      </w:pPr>
    </w:p>
    <w:p w:rsidR="00DD2A06" w:rsidRPr="00D72C0A" w:rsidRDefault="00DD2A06" w:rsidP="00DD2A06">
      <w:pPr>
        <w:tabs>
          <w:tab w:val="left" w:pos="567"/>
          <w:tab w:val="left" w:pos="1134"/>
        </w:tabs>
        <w:spacing w:after="0"/>
        <w:rPr>
          <w:rFonts w:cs="Arial"/>
        </w:rPr>
      </w:pPr>
      <w:r w:rsidRPr="006F083C">
        <w:rPr>
          <w:rFonts w:cs="Arial"/>
        </w:rPr>
        <w:t>A further additional saving of £</w:t>
      </w:r>
      <w:r>
        <w:rPr>
          <w:rFonts w:cs="Arial"/>
        </w:rPr>
        <w:t>0.154</w:t>
      </w:r>
      <w:r w:rsidRPr="006F083C">
        <w:rPr>
          <w:rFonts w:cs="Arial"/>
        </w:rPr>
        <w:t>m has been included</w:t>
      </w:r>
      <w:r>
        <w:rPr>
          <w:rFonts w:cs="Arial"/>
        </w:rPr>
        <w:t xml:space="preserve"> from 2018/19 to reflect the decision taken by Employment Committee to end the funding of Trade Union representatives within the Council's Facilities Agreement</w:t>
      </w:r>
      <w:r w:rsidRPr="006F083C">
        <w:rPr>
          <w:rFonts w:cs="Arial"/>
        </w:rPr>
        <w:t>.</w:t>
      </w:r>
      <w:r>
        <w:rPr>
          <w:rFonts w:cs="Arial"/>
        </w:rPr>
        <w:t xml:space="preserve"> </w:t>
      </w:r>
    </w:p>
    <w:p w:rsidR="00DD2A06" w:rsidRDefault="00DD2A06" w:rsidP="00DD2A06">
      <w:pPr>
        <w:tabs>
          <w:tab w:val="left" w:pos="567"/>
          <w:tab w:val="left" w:pos="1134"/>
        </w:tabs>
        <w:spacing w:after="0"/>
        <w:rPr>
          <w:rFonts w:cs="Arial"/>
          <w:b/>
        </w:rPr>
      </w:pPr>
    </w:p>
    <w:p w:rsidR="00DD2A06" w:rsidRDefault="00DD2A06" w:rsidP="00DD2A06">
      <w:pPr>
        <w:tabs>
          <w:tab w:val="left" w:pos="567"/>
          <w:tab w:val="left" w:pos="1134"/>
        </w:tabs>
        <w:spacing w:after="0"/>
        <w:rPr>
          <w:rFonts w:cs="Arial"/>
          <w:b/>
        </w:rPr>
      </w:pPr>
      <w:r>
        <w:rPr>
          <w:rFonts w:cs="Arial"/>
          <w:b/>
        </w:rPr>
        <w:t>3.7</w:t>
      </w:r>
      <w:r w:rsidRPr="00882976">
        <w:rPr>
          <w:rFonts w:cs="Arial"/>
          <w:b/>
        </w:rPr>
        <w:t xml:space="preserve"> </w:t>
      </w:r>
      <w:r>
        <w:rPr>
          <w:rFonts w:cs="Arial"/>
          <w:b/>
        </w:rPr>
        <w:t>Re-profiled Savings</w:t>
      </w:r>
    </w:p>
    <w:p w:rsidR="00DD2A06" w:rsidRDefault="00DD2A06" w:rsidP="00DD2A06">
      <w:pPr>
        <w:tabs>
          <w:tab w:val="left" w:pos="567"/>
          <w:tab w:val="left" w:pos="1134"/>
        </w:tabs>
        <w:spacing w:after="0"/>
        <w:rPr>
          <w:rFonts w:cs="Arial"/>
          <w:b/>
        </w:rPr>
      </w:pPr>
    </w:p>
    <w:p w:rsidR="00DD2A06" w:rsidRDefault="00DD2A06" w:rsidP="00DD2A06">
      <w:pPr>
        <w:tabs>
          <w:tab w:val="left" w:pos="567"/>
          <w:tab w:val="left" w:pos="1134"/>
        </w:tabs>
        <w:spacing w:after="0"/>
        <w:rPr>
          <w:rFonts w:cs="Arial"/>
        </w:rPr>
      </w:pPr>
      <w:r w:rsidRPr="00882976">
        <w:rPr>
          <w:rFonts w:cs="Arial"/>
        </w:rPr>
        <w:t xml:space="preserve">Following further detailed work </w:t>
      </w:r>
      <w:r>
        <w:rPr>
          <w:rFonts w:cs="Arial"/>
        </w:rPr>
        <w:t>in relation to savings for SEN Transport have</w:t>
      </w:r>
      <w:r w:rsidRPr="00882976">
        <w:rPr>
          <w:rFonts w:cs="Arial"/>
        </w:rPr>
        <w:t xml:space="preserve"> been re</w:t>
      </w:r>
      <w:r>
        <w:rPr>
          <w:rFonts w:cs="Arial"/>
        </w:rPr>
        <w:t xml:space="preserve">-profiled due to some delays in being able to implement parts of the savings programme. </w:t>
      </w:r>
      <w:r w:rsidRPr="00882976">
        <w:rPr>
          <w:rFonts w:cs="Arial"/>
        </w:rPr>
        <w:t>This r</w:t>
      </w:r>
      <w:r>
        <w:rPr>
          <w:rFonts w:cs="Arial"/>
        </w:rPr>
        <w:t xml:space="preserve">esults in a </w:t>
      </w:r>
      <w:r w:rsidRPr="00127E88">
        <w:rPr>
          <w:rFonts w:cs="Arial"/>
        </w:rPr>
        <w:t xml:space="preserve">savings value of </w:t>
      </w:r>
      <w:r>
        <w:rPr>
          <w:rFonts w:cs="Arial"/>
        </w:rPr>
        <w:t>£0.801</w:t>
      </w:r>
      <w:r w:rsidRPr="00127E88">
        <w:rPr>
          <w:rFonts w:cs="Arial"/>
        </w:rPr>
        <w:t>m moved</w:t>
      </w:r>
      <w:r>
        <w:rPr>
          <w:rFonts w:cs="Arial"/>
        </w:rPr>
        <w:t xml:space="preserve"> from 2018/19 into 2019/20 onwards in the MTFS. </w:t>
      </w:r>
    </w:p>
    <w:p w:rsidR="00DD2A06" w:rsidRDefault="00DD2A06" w:rsidP="00DD2A06">
      <w:pPr>
        <w:tabs>
          <w:tab w:val="left" w:pos="567"/>
          <w:tab w:val="left" w:pos="1134"/>
        </w:tabs>
        <w:spacing w:after="0"/>
        <w:rPr>
          <w:rFonts w:cs="Arial"/>
          <w:b/>
        </w:rPr>
      </w:pPr>
    </w:p>
    <w:p w:rsidR="00DD2A06" w:rsidRPr="0046500A" w:rsidRDefault="00DD2A06" w:rsidP="00DD2A06">
      <w:pPr>
        <w:tabs>
          <w:tab w:val="left" w:pos="567"/>
          <w:tab w:val="left" w:pos="1134"/>
        </w:tabs>
        <w:spacing w:after="0"/>
        <w:rPr>
          <w:rFonts w:cs="Arial"/>
          <w:b/>
        </w:rPr>
      </w:pPr>
      <w:r w:rsidRPr="0046500A">
        <w:rPr>
          <w:rFonts w:cs="Arial"/>
          <w:b/>
        </w:rPr>
        <w:t>4.</w:t>
      </w:r>
      <w:r>
        <w:rPr>
          <w:rFonts w:cs="Arial"/>
          <w:b/>
        </w:rPr>
        <w:t xml:space="preserve"> </w:t>
      </w:r>
      <w:r w:rsidRPr="0046500A">
        <w:rPr>
          <w:rFonts w:cs="Arial"/>
          <w:b/>
        </w:rPr>
        <w:t xml:space="preserve">Future Risks </w:t>
      </w:r>
    </w:p>
    <w:p w:rsidR="00DD2A06" w:rsidRPr="0046500A" w:rsidRDefault="00DD2A06" w:rsidP="00DD2A06">
      <w:pPr>
        <w:tabs>
          <w:tab w:val="left" w:pos="567"/>
          <w:tab w:val="left" w:pos="1134"/>
        </w:tabs>
        <w:spacing w:after="0"/>
        <w:rPr>
          <w:rFonts w:cs="Arial"/>
          <w:b/>
        </w:rPr>
      </w:pPr>
    </w:p>
    <w:p w:rsidR="00DD2A06" w:rsidRPr="0046500A" w:rsidRDefault="00DD2A06" w:rsidP="00DD2A06">
      <w:pPr>
        <w:tabs>
          <w:tab w:val="left" w:pos="567"/>
          <w:tab w:val="left" w:pos="1134"/>
        </w:tabs>
        <w:spacing w:after="0"/>
        <w:rPr>
          <w:rFonts w:cs="Arial"/>
        </w:rPr>
      </w:pPr>
      <w:r w:rsidRPr="0046500A">
        <w:rPr>
          <w:rFonts w:cs="Arial"/>
        </w:rPr>
        <w:t>In addition to the economic uncertainty post-Brexit outlined earlier in the report, the following are key future risks, the full impact of which is not known at this stage:</w:t>
      </w:r>
    </w:p>
    <w:p w:rsidR="00DD2A06" w:rsidRPr="0046500A" w:rsidRDefault="00DD2A06" w:rsidP="00DD2A06">
      <w:pPr>
        <w:tabs>
          <w:tab w:val="left" w:pos="567"/>
          <w:tab w:val="left" w:pos="1134"/>
        </w:tabs>
        <w:spacing w:after="0"/>
        <w:rPr>
          <w:rFonts w:cs="Arial"/>
        </w:rPr>
      </w:pPr>
    </w:p>
    <w:p w:rsidR="00DD2A06" w:rsidRPr="005263F4" w:rsidRDefault="00DD2A06" w:rsidP="00DD2A06">
      <w:pPr>
        <w:tabs>
          <w:tab w:val="left" w:pos="567"/>
          <w:tab w:val="left" w:pos="1134"/>
        </w:tabs>
        <w:spacing w:after="0"/>
        <w:rPr>
          <w:rFonts w:cs="Arial"/>
          <w:b/>
        </w:rPr>
      </w:pPr>
      <w:r w:rsidRPr="005263F4">
        <w:rPr>
          <w:rFonts w:cs="Arial"/>
          <w:b/>
        </w:rPr>
        <w:t>4.1 Agreed Savings Plans Delivery</w:t>
      </w:r>
    </w:p>
    <w:p w:rsidR="00DD2A06" w:rsidRPr="005263F4" w:rsidRDefault="00DD2A06" w:rsidP="00DD2A06">
      <w:pPr>
        <w:pStyle w:val="PlainText"/>
        <w:rPr>
          <w:rFonts w:ascii="Arial" w:hAnsi="Arial" w:cs="Arial"/>
          <w:sz w:val="24"/>
          <w:szCs w:val="24"/>
        </w:rPr>
      </w:pPr>
    </w:p>
    <w:p w:rsidR="00DD2A06" w:rsidRPr="005263F4" w:rsidRDefault="00DD2A06" w:rsidP="00DD2A06">
      <w:pPr>
        <w:pStyle w:val="PlainText"/>
        <w:rPr>
          <w:rFonts w:ascii="Arial" w:hAnsi="Arial" w:cs="Arial"/>
          <w:sz w:val="24"/>
          <w:szCs w:val="24"/>
        </w:rPr>
      </w:pPr>
      <w:r w:rsidRPr="005263F4">
        <w:rPr>
          <w:rFonts w:ascii="Arial" w:hAnsi="Arial" w:cs="Arial"/>
          <w:sz w:val="24"/>
          <w:szCs w:val="24"/>
        </w:rPr>
        <w:t>The scale of agreed savings is hugely significant given both the scale and areas covered, and there are inherent risks in their delivery (2017/</w:t>
      </w:r>
      <w:r w:rsidRPr="006F083C">
        <w:rPr>
          <w:rFonts w:ascii="Arial" w:hAnsi="Arial" w:cs="Arial"/>
          <w:sz w:val="24"/>
          <w:szCs w:val="24"/>
        </w:rPr>
        <w:t>18 – 2020/21 c£54m).  Any significant under-delivery of agreed savings will create an additional funding gap</w:t>
      </w:r>
      <w:r w:rsidRPr="005263F4">
        <w:rPr>
          <w:rFonts w:ascii="Arial" w:hAnsi="Arial" w:cs="Arial"/>
          <w:sz w:val="24"/>
          <w:szCs w:val="24"/>
        </w:rPr>
        <w:t xml:space="preserve"> and impact on the ongoing and longer-term financial health of the Council.  This has been identified as one of the highest level risks in the Risk and Opportunity Register.  There are comprehensive arrangements in place to track delivery of financial savings and take corrective actions where required.</w:t>
      </w:r>
    </w:p>
    <w:p w:rsidR="00DD2A06" w:rsidRPr="00954F07" w:rsidRDefault="00DD2A06" w:rsidP="00DD2A06">
      <w:pPr>
        <w:tabs>
          <w:tab w:val="left" w:pos="567"/>
          <w:tab w:val="left" w:pos="1134"/>
        </w:tabs>
        <w:spacing w:after="0"/>
        <w:rPr>
          <w:rFonts w:cs="Arial"/>
          <w:highlight w:val="yellow"/>
        </w:rPr>
      </w:pPr>
    </w:p>
    <w:p w:rsidR="00DD2A06" w:rsidRDefault="00DD2A06" w:rsidP="00DD2A06">
      <w:pPr>
        <w:tabs>
          <w:tab w:val="left" w:pos="567"/>
          <w:tab w:val="left" w:pos="1134"/>
        </w:tabs>
        <w:spacing w:after="0"/>
        <w:rPr>
          <w:rFonts w:cs="Arial"/>
          <w:b/>
        </w:rPr>
      </w:pPr>
      <w:r w:rsidRPr="00F747E2">
        <w:rPr>
          <w:rFonts w:cs="Arial"/>
          <w:b/>
        </w:rPr>
        <w:t>4.2 Identification of Further Savings Opportunities</w:t>
      </w:r>
    </w:p>
    <w:p w:rsidR="00DD2A06" w:rsidRDefault="00DD2A06" w:rsidP="00DD2A06">
      <w:pPr>
        <w:tabs>
          <w:tab w:val="left" w:pos="567"/>
          <w:tab w:val="left" w:pos="1134"/>
        </w:tabs>
        <w:spacing w:after="0"/>
        <w:rPr>
          <w:rFonts w:cs="Arial"/>
          <w:b/>
        </w:rPr>
      </w:pPr>
    </w:p>
    <w:p w:rsidR="00DD2A06" w:rsidRDefault="00DD2A06" w:rsidP="00DD2A06">
      <w:pPr>
        <w:spacing w:after="0"/>
        <w:rPr>
          <w:rFonts w:ascii="ArialMT" w:eastAsia="Cambria" w:hAnsi="ArialMT" w:cs="ArialMT"/>
          <w:color w:val="auto"/>
          <w:lang w:eastAsia="en-GB"/>
        </w:rPr>
      </w:pPr>
      <w:r>
        <w:rPr>
          <w:rFonts w:cs="Arial"/>
        </w:rPr>
        <w:t xml:space="preserve">As detailed earlier in this report, additional potential savings options </w:t>
      </w:r>
      <w:r>
        <w:rPr>
          <w:rFonts w:ascii="ArialMT" w:eastAsia="Cambria" w:hAnsi="ArialMT" w:cs="ArialMT"/>
          <w:color w:val="auto"/>
          <w:lang w:eastAsia="en-GB"/>
        </w:rPr>
        <w:t xml:space="preserve">have been prepared for </w:t>
      </w:r>
      <w:r w:rsidRPr="006F083C">
        <w:rPr>
          <w:rFonts w:ascii="ArialMT" w:eastAsia="Cambria" w:hAnsi="ArialMT" w:cs="ArialMT"/>
          <w:color w:val="auto"/>
          <w:lang w:eastAsia="en-GB"/>
        </w:rPr>
        <w:t xml:space="preserve">every area of the </w:t>
      </w:r>
      <w:r>
        <w:rPr>
          <w:rFonts w:ascii="ArialMT" w:eastAsia="Cambria" w:hAnsi="ArialMT" w:cs="ArialMT"/>
          <w:color w:val="auto"/>
          <w:lang w:eastAsia="en-GB"/>
        </w:rPr>
        <w:t>C</w:t>
      </w:r>
      <w:r w:rsidRPr="006F083C">
        <w:rPr>
          <w:rFonts w:ascii="ArialMT" w:eastAsia="Cambria" w:hAnsi="ArialMT" w:cs="ArialMT"/>
          <w:color w:val="auto"/>
          <w:lang w:eastAsia="en-GB"/>
        </w:rPr>
        <w:t>ouncil's expenditure. In the report agreed by Cabinet at Quarter 1</w:t>
      </w:r>
      <w:r>
        <w:rPr>
          <w:rFonts w:ascii="ArialMT" w:eastAsia="Cambria" w:hAnsi="ArialMT" w:cs="ArialMT"/>
          <w:color w:val="auto"/>
          <w:lang w:eastAsia="en-GB"/>
        </w:rPr>
        <w:t>,</w:t>
      </w:r>
      <w:r w:rsidRPr="006F083C">
        <w:rPr>
          <w:rFonts w:ascii="ArialMT" w:eastAsia="Cambria" w:hAnsi="ArialMT" w:cs="ArialMT"/>
          <w:color w:val="auto"/>
          <w:lang w:eastAsia="en-GB"/>
        </w:rPr>
        <w:t xml:space="preserve"> c£50m of savings </w:t>
      </w:r>
      <w:r>
        <w:rPr>
          <w:rFonts w:ascii="ArialMT" w:eastAsia="Cambria" w:hAnsi="ArialMT" w:cs="ArialMT"/>
          <w:color w:val="auto"/>
          <w:lang w:eastAsia="en-GB"/>
        </w:rPr>
        <w:t>were agreed</w:t>
      </w:r>
      <w:r w:rsidRPr="006F083C">
        <w:rPr>
          <w:rFonts w:ascii="ArialMT" w:eastAsia="Cambria" w:hAnsi="ArialMT" w:cs="ArialMT"/>
          <w:color w:val="auto"/>
          <w:lang w:eastAsia="en-GB"/>
        </w:rPr>
        <w:t xml:space="preserve"> to be implemented with further savings </w:t>
      </w:r>
      <w:r>
        <w:rPr>
          <w:rFonts w:ascii="ArialMT" w:eastAsia="Cambria" w:hAnsi="ArialMT" w:cs="ArialMT"/>
          <w:color w:val="auto"/>
          <w:lang w:eastAsia="en-GB"/>
        </w:rPr>
        <w:t xml:space="preserve">proposals </w:t>
      </w:r>
      <w:r w:rsidRPr="006F083C">
        <w:rPr>
          <w:rFonts w:ascii="ArialMT" w:eastAsia="Cambria" w:hAnsi="ArialMT" w:cs="ArialMT"/>
          <w:color w:val="auto"/>
          <w:lang w:eastAsia="en-GB"/>
        </w:rPr>
        <w:t xml:space="preserve">to be </w:t>
      </w:r>
      <w:r>
        <w:rPr>
          <w:rFonts w:ascii="ArialMT" w:eastAsia="Cambria" w:hAnsi="ArialMT" w:cs="ArialMT"/>
          <w:color w:val="auto"/>
          <w:lang w:eastAsia="en-GB"/>
        </w:rPr>
        <w:t>considered at future  Cabinet  meetings,</w:t>
      </w:r>
      <w:r w:rsidRPr="00EF5F30">
        <w:rPr>
          <w:rFonts w:cs="Arial"/>
        </w:rPr>
        <w:t xml:space="preserve"> </w:t>
      </w:r>
      <w:r>
        <w:rPr>
          <w:rFonts w:cs="Arial"/>
        </w:rPr>
        <w:t xml:space="preserve">reflecting that there still remains an estimated </w:t>
      </w:r>
      <w:r w:rsidRPr="006F083C">
        <w:rPr>
          <w:rFonts w:cs="Arial"/>
        </w:rPr>
        <w:t xml:space="preserve">shortfall of </w:t>
      </w:r>
      <w:r>
        <w:rPr>
          <w:rFonts w:cs="Arial"/>
        </w:rPr>
        <w:t>£64.765</w:t>
      </w:r>
      <w:r w:rsidRPr="006F083C">
        <w:rPr>
          <w:rFonts w:cs="Arial"/>
        </w:rPr>
        <w:t>m in 2018</w:t>
      </w:r>
      <w:r>
        <w:rPr>
          <w:rFonts w:cs="Arial"/>
        </w:rPr>
        <w:t>/19 even if the  savings in this report are  agreed and delivered</w:t>
      </w:r>
      <w:r>
        <w:rPr>
          <w:rFonts w:ascii="ArialMT" w:eastAsia="Cambria" w:hAnsi="ArialMT" w:cs="ArialMT"/>
          <w:color w:val="auto"/>
          <w:lang w:eastAsia="en-GB"/>
        </w:rPr>
        <w:t xml:space="preserve"> in the timeframes identified.</w:t>
      </w:r>
    </w:p>
    <w:p w:rsidR="00DD2A06" w:rsidRPr="00954F07" w:rsidRDefault="00DD2A06" w:rsidP="00DD2A06">
      <w:pPr>
        <w:tabs>
          <w:tab w:val="left" w:pos="567"/>
          <w:tab w:val="left" w:pos="1134"/>
        </w:tabs>
        <w:spacing w:after="0"/>
        <w:rPr>
          <w:rFonts w:cs="Arial"/>
          <w:highlight w:val="yellow"/>
        </w:rPr>
      </w:pPr>
    </w:p>
    <w:p w:rsidR="00DD2A06" w:rsidRPr="005263F4" w:rsidRDefault="00DD2A06" w:rsidP="00DD2A06">
      <w:pPr>
        <w:tabs>
          <w:tab w:val="left" w:pos="567"/>
          <w:tab w:val="left" w:pos="1134"/>
        </w:tabs>
        <w:spacing w:after="0"/>
        <w:rPr>
          <w:rFonts w:cs="Arial"/>
          <w:b/>
        </w:rPr>
      </w:pPr>
      <w:r w:rsidRPr="005263F4">
        <w:rPr>
          <w:rFonts w:cs="Arial"/>
          <w:b/>
        </w:rPr>
        <w:t>4.3 Business Rates Retention / Changes to Funding Formula</w:t>
      </w:r>
    </w:p>
    <w:p w:rsidR="00DD2A06" w:rsidRPr="005263F4" w:rsidRDefault="00DD2A06" w:rsidP="00DD2A06">
      <w:pPr>
        <w:tabs>
          <w:tab w:val="left" w:pos="567"/>
          <w:tab w:val="left" w:pos="1134"/>
        </w:tabs>
        <w:spacing w:after="0"/>
        <w:rPr>
          <w:rFonts w:cs="Arial"/>
          <w:b/>
        </w:rPr>
      </w:pPr>
    </w:p>
    <w:p w:rsidR="00DD2A06" w:rsidRPr="005263F4" w:rsidRDefault="00DD2A06" w:rsidP="00DD2A06">
      <w:pPr>
        <w:tabs>
          <w:tab w:val="left" w:pos="567"/>
          <w:tab w:val="left" w:pos="1134"/>
        </w:tabs>
        <w:spacing w:after="0"/>
        <w:rPr>
          <w:rFonts w:cs="Arial"/>
        </w:rPr>
      </w:pPr>
      <w:r w:rsidRPr="005263F4">
        <w:rPr>
          <w:rFonts w:cs="Arial"/>
        </w:rPr>
        <w:t xml:space="preserve">In 2015 the Chancellor announced that local government as a whole would be able to keep </w:t>
      </w:r>
      <w:r w:rsidRPr="006F083C">
        <w:rPr>
          <w:rFonts w:cs="Arial"/>
        </w:rPr>
        <w:t>100% of business rates by 2020.  Using Office for Budget Responsibility (OBR) forecasts the Government has estimated that additional business rates kept by councils will be c£13bn by 2020/21 with the intention to transfer new responsibilities to local government to ensure cost neutrality overall of the funding changes.  There is currently a system of redistribution (top-ups and tariffs) to reflect there are councils with relatively higher needs but</w:t>
      </w:r>
      <w:r w:rsidRPr="005263F4">
        <w:rPr>
          <w:rFonts w:cs="Arial"/>
        </w:rPr>
        <w:t xml:space="preserve"> lower income from business rates and vice versa.  The Secretary of State for Communities and Local Government has also announced a full review of needs and redistribution which will be used as the starting point for the new system when it comes into force.  </w:t>
      </w:r>
    </w:p>
    <w:p w:rsidR="00DD2A06" w:rsidRPr="005263F4" w:rsidRDefault="00DD2A06" w:rsidP="00DD2A06">
      <w:pPr>
        <w:tabs>
          <w:tab w:val="left" w:pos="567"/>
          <w:tab w:val="left" w:pos="1134"/>
        </w:tabs>
        <w:spacing w:after="0"/>
        <w:rPr>
          <w:rFonts w:cs="Arial"/>
        </w:rPr>
      </w:pPr>
    </w:p>
    <w:p w:rsidR="00DD2A06" w:rsidRDefault="00DD2A06" w:rsidP="00DD2A06">
      <w:pPr>
        <w:tabs>
          <w:tab w:val="left" w:pos="567"/>
          <w:tab w:val="left" w:pos="1134"/>
        </w:tabs>
        <w:spacing w:after="0"/>
        <w:rPr>
          <w:rFonts w:cs="Arial"/>
        </w:rPr>
      </w:pPr>
      <w:r w:rsidRPr="005263F4">
        <w:rPr>
          <w:rFonts w:cs="Arial"/>
        </w:rPr>
        <w:t xml:space="preserve">The County Council currently receives a top-up grant, primarily as a result of having Adult Social Care responsibilities, and although work is progressing nationally with a number of complete and planned consultations regarding the changes, there is </w:t>
      </w:r>
      <w:r>
        <w:rPr>
          <w:rFonts w:cs="Arial"/>
        </w:rPr>
        <w:t xml:space="preserve">currently </w:t>
      </w:r>
      <w:r w:rsidRPr="005263F4">
        <w:rPr>
          <w:rFonts w:cs="Arial"/>
        </w:rPr>
        <w:t xml:space="preserve">insufficient information </w:t>
      </w:r>
      <w:r>
        <w:rPr>
          <w:rFonts w:cs="Arial"/>
        </w:rPr>
        <w:t xml:space="preserve">available </w:t>
      </w:r>
      <w:r w:rsidRPr="005263F4">
        <w:rPr>
          <w:rFonts w:cs="Arial"/>
        </w:rPr>
        <w:t>to model what the financial impact of the changes will be and the financial impact on the County Council.</w:t>
      </w:r>
      <w:r>
        <w:rPr>
          <w:rFonts w:cs="Arial"/>
        </w:rPr>
        <w:t xml:space="preserve"> </w:t>
      </w:r>
    </w:p>
    <w:p w:rsidR="00DD2A06" w:rsidRDefault="00DD2A06" w:rsidP="00DD2A06">
      <w:pPr>
        <w:tabs>
          <w:tab w:val="left" w:pos="567"/>
          <w:tab w:val="left" w:pos="1134"/>
        </w:tabs>
        <w:spacing w:after="0"/>
        <w:rPr>
          <w:rFonts w:cs="Arial"/>
        </w:rPr>
      </w:pPr>
    </w:p>
    <w:p w:rsidR="00DD2A06" w:rsidRPr="00BE7390" w:rsidRDefault="00DD2A06" w:rsidP="00DD2A06">
      <w:pPr>
        <w:tabs>
          <w:tab w:val="left" w:pos="567"/>
          <w:tab w:val="left" w:pos="1134"/>
        </w:tabs>
        <w:spacing w:after="0"/>
        <w:rPr>
          <w:rFonts w:cs="Arial"/>
        </w:rPr>
      </w:pPr>
      <w:r>
        <w:rPr>
          <w:rFonts w:cs="Arial"/>
        </w:rPr>
        <w:t>It is important to note that a</w:t>
      </w:r>
      <w:r w:rsidRPr="00BE7390">
        <w:rPr>
          <w:rFonts w:cs="Arial"/>
        </w:rPr>
        <w:t>lthough the recent General Election may have caused some delays in progressing the scheduled timetable surrounding 100% business rates retention and funding formula review a representative from DCLG recently stated that:</w:t>
      </w:r>
    </w:p>
    <w:p w:rsidR="00DD2A06" w:rsidRPr="005263F4" w:rsidRDefault="00DD2A06" w:rsidP="00DD2A06">
      <w:pPr>
        <w:tabs>
          <w:tab w:val="left" w:pos="567"/>
          <w:tab w:val="left" w:pos="1134"/>
        </w:tabs>
        <w:spacing w:after="0"/>
        <w:rPr>
          <w:rFonts w:cs="Arial"/>
        </w:rPr>
      </w:pPr>
      <w:r w:rsidRPr="00BE7390">
        <w:rPr>
          <w:rFonts w:cs="Arial"/>
        </w:rPr>
        <w:t>“Ministers remain committed to local government taking greater control of      their income, as outlined in the Manifesto. We [DCLG] are engaging Ministers on the options for future reform without an immediate Bill and we will be in touch once we are in a position to resume working with you on the future of local government finance reform”.</w:t>
      </w:r>
    </w:p>
    <w:p w:rsidR="00DD2A06" w:rsidRPr="005263F4" w:rsidRDefault="00DD2A06" w:rsidP="00DD2A06">
      <w:pPr>
        <w:tabs>
          <w:tab w:val="left" w:pos="567"/>
          <w:tab w:val="left" w:pos="1134"/>
        </w:tabs>
        <w:spacing w:after="0"/>
        <w:rPr>
          <w:rFonts w:cs="Arial"/>
        </w:rPr>
      </w:pPr>
    </w:p>
    <w:p w:rsidR="00DD2A06" w:rsidRPr="005263F4" w:rsidRDefault="00DD2A06" w:rsidP="00DD2A06">
      <w:pPr>
        <w:tabs>
          <w:tab w:val="left" w:pos="567"/>
          <w:tab w:val="left" w:pos="1134"/>
        </w:tabs>
        <w:spacing w:after="0"/>
        <w:rPr>
          <w:rFonts w:cs="Arial"/>
          <w:b/>
        </w:rPr>
      </w:pPr>
      <w:r>
        <w:rPr>
          <w:rFonts w:cs="Arial"/>
          <w:b/>
        </w:rPr>
        <w:t>4.4</w:t>
      </w:r>
      <w:r w:rsidRPr="005263F4">
        <w:rPr>
          <w:rFonts w:cs="Arial"/>
          <w:b/>
        </w:rPr>
        <w:t xml:space="preserve"> Children's Social Care</w:t>
      </w:r>
    </w:p>
    <w:p w:rsidR="00DD2A06" w:rsidRPr="005263F4" w:rsidRDefault="00DD2A06" w:rsidP="00DD2A06">
      <w:pPr>
        <w:tabs>
          <w:tab w:val="left" w:pos="567"/>
          <w:tab w:val="left" w:pos="1134"/>
        </w:tabs>
        <w:spacing w:after="0"/>
        <w:rPr>
          <w:rFonts w:cs="Arial"/>
          <w:b/>
        </w:rPr>
      </w:pPr>
    </w:p>
    <w:p w:rsidR="00DD2A06" w:rsidRDefault="00DD2A06" w:rsidP="00DD2A06">
      <w:pPr>
        <w:tabs>
          <w:tab w:val="left" w:pos="567"/>
          <w:tab w:val="left" w:pos="1134"/>
        </w:tabs>
        <w:spacing w:after="0"/>
        <w:rPr>
          <w:rFonts w:cs="Arial"/>
        </w:rPr>
      </w:pPr>
      <w:r w:rsidRPr="005263F4">
        <w:rPr>
          <w:rFonts w:cs="Arial"/>
        </w:rPr>
        <w:t xml:space="preserve">Children's Social Care demand levels </w:t>
      </w:r>
      <w:r>
        <w:rPr>
          <w:rFonts w:cs="Arial"/>
        </w:rPr>
        <w:t xml:space="preserve">are currently forecast to </w:t>
      </w:r>
      <w:r w:rsidRPr="005263F4">
        <w:rPr>
          <w:rFonts w:cs="Arial"/>
        </w:rPr>
        <w:t>continu</w:t>
      </w:r>
      <w:r>
        <w:rPr>
          <w:rFonts w:cs="Arial"/>
        </w:rPr>
        <w:t>e</w:t>
      </w:r>
      <w:r w:rsidRPr="005263F4">
        <w:rPr>
          <w:rFonts w:cs="Arial"/>
        </w:rPr>
        <w:t xml:space="preserve"> to increase, particularly within agency residential placements</w:t>
      </w:r>
      <w:r>
        <w:rPr>
          <w:rFonts w:cs="Arial"/>
        </w:rPr>
        <w:t>, agency fostering placements and also Special Guardianship Orders</w:t>
      </w:r>
      <w:r w:rsidRPr="005263F4">
        <w:rPr>
          <w:rFonts w:cs="Arial"/>
        </w:rPr>
        <w:t xml:space="preserve">. The establishment of the 0-25 Programme Board </w:t>
      </w:r>
      <w:r>
        <w:rPr>
          <w:rFonts w:cs="Arial"/>
        </w:rPr>
        <w:t xml:space="preserve">(now renamed as the Improvement and Accountability Board) and </w:t>
      </w:r>
      <w:r w:rsidRPr="005263F4">
        <w:rPr>
          <w:rFonts w:cs="Arial"/>
        </w:rPr>
        <w:t xml:space="preserve">a supporting Finance Sub Group are critical in analysing the current and future levels of demand and working to develop demand management across the service. </w:t>
      </w:r>
    </w:p>
    <w:p w:rsidR="00DD2A06" w:rsidRDefault="00DD2A06" w:rsidP="00DD2A06">
      <w:pPr>
        <w:tabs>
          <w:tab w:val="left" w:pos="567"/>
          <w:tab w:val="left" w:pos="1134"/>
        </w:tabs>
        <w:spacing w:after="0"/>
        <w:rPr>
          <w:rFonts w:cs="Arial"/>
        </w:rPr>
      </w:pPr>
    </w:p>
    <w:p w:rsidR="00DD2A06" w:rsidRPr="005263F4" w:rsidRDefault="00DD2A06" w:rsidP="00DD2A06">
      <w:pPr>
        <w:tabs>
          <w:tab w:val="left" w:pos="567"/>
          <w:tab w:val="left" w:pos="1134"/>
        </w:tabs>
        <w:spacing w:after="0"/>
        <w:rPr>
          <w:rFonts w:cs="Arial"/>
        </w:rPr>
      </w:pPr>
      <w:r>
        <w:rPr>
          <w:rFonts w:cs="Arial"/>
        </w:rPr>
        <w:t>S</w:t>
      </w:r>
      <w:r w:rsidRPr="007332E5">
        <w:rPr>
          <w:rFonts w:cs="Arial"/>
        </w:rPr>
        <w:t xml:space="preserve">ignificant additional budget </w:t>
      </w:r>
      <w:r>
        <w:rPr>
          <w:rFonts w:cs="Arial"/>
        </w:rPr>
        <w:t>was allocated to Children's Social</w:t>
      </w:r>
      <w:r w:rsidRPr="007332E5">
        <w:rPr>
          <w:rFonts w:cs="Arial"/>
        </w:rPr>
        <w:t xml:space="preserve"> support improvements </w:t>
      </w:r>
      <w:r>
        <w:rPr>
          <w:rFonts w:cs="Arial"/>
        </w:rPr>
        <w:t xml:space="preserve">and demand pressures </w:t>
      </w:r>
      <w:r w:rsidRPr="007332E5">
        <w:rPr>
          <w:rFonts w:cs="Arial"/>
        </w:rPr>
        <w:t xml:space="preserve">following the Ofsted inspection in both 2016/17 and 2017/18 </w:t>
      </w:r>
      <w:r>
        <w:rPr>
          <w:rFonts w:cs="Arial"/>
        </w:rPr>
        <w:t>A</w:t>
      </w:r>
      <w:r w:rsidRPr="007332E5">
        <w:rPr>
          <w:rFonts w:cs="Arial"/>
        </w:rPr>
        <w:t>n assumption is also made that demand will plateau in future years, with a reducing demand increase built into future year's budget. Th</w:t>
      </w:r>
      <w:r>
        <w:rPr>
          <w:rFonts w:cs="Arial"/>
        </w:rPr>
        <w:t>is MTFS</w:t>
      </w:r>
      <w:r w:rsidRPr="007332E5">
        <w:rPr>
          <w:rFonts w:cs="Arial"/>
        </w:rPr>
        <w:t xml:space="preserve"> is based on current demand levels and uses benchmarking information from other County Councils and national data in relation to Children Looked After budgets to proj</w:t>
      </w:r>
      <w:r>
        <w:rPr>
          <w:rFonts w:cs="Arial"/>
        </w:rPr>
        <w:t xml:space="preserve">ect future funding requirements and will continue to be regularly reviewed. </w:t>
      </w:r>
    </w:p>
    <w:p w:rsidR="00DD2A06" w:rsidRDefault="00DD2A06" w:rsidP="00DD2A06">
      <w:pPr>
        <w:tabs>
          <w:tab w:val="left" w:pos="567"/>
          <w:tab w:val="left" w:pos="1134"/>
        </w:tabs>
        <w:spacing w:after="0"/>
        <w:rPr>
          <w:rFonts w:cs="Arial"/>
          <w:highlight w:val="yellow"/>
        </w:rPr>
      </w:pPr>
    </w:p>
    <w:p w:rsidR="00DD2A06" w:rsidRPr="00954F07" w:rsidRDefault="00DD2A06" w:rsidP="00DD2A06">
      <w:pPr>
        <w:tabs>
          <w:tab w:val="left" w:pos="567"/>
          <w:tab w:val="left" w:pos="1134"/>
        </w:tabs>
        <w:spacing w:after="0"/>
        <w:rPr>
          <w:rFonts w:cs="Arial"/>
          <w:highlight w:val="yellow"/>
        </w:rPr>
      </w:pPr>
    </w:p>
    <w:p w:rsidR="00DD2A06" w:rsidRPr="00882976" w:rsidRDefault="00DD2A06" w:rsidP="00DD2A06">
      <w:pPr>
        <w:tabs>
          <w:tab w:val="left" w:pos="567"/>
          <w:tab w:val="left" w:pos="1134"/>
        </w:tabs>
        <w:spacing w:after="0"/>
        <w:rPr>
          <w:rFonts w:cs="Arial"/>
        </w:rPr>
      </w:pPr>
    </w:p>
    <w:sectPr w:rsidR="00DD2A06" w:rsidRPr="00882976" w:rsidSect="00DD2A0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06" w:rsidRDefault="00DD2A06">
      <w:pPr>
        <w:spacing w:after="0"/>
      </w:pPr>
      <w:r>
        <w:separator/>
      </w:r>
    </w:p>
  </w:endnote>
  <w:endnote w:type="continuationSeparator" w:id="0">
    <w:p w:rsidR="00DD2A06" w:rsidRDefault="00DD2A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rsidR="00DD2A06" w:rsidRDefault="00DD2A06" w:rsidP="002E7665">
        <w:pPr>
          <w:pStyle w:val="Footer"/>
          <w:jc w:val="right"/>
        </w:pPr>
        <w:r>
          <w:fldChar w:fldCharType="begin"/>
        </w:r>
        <w:r>
          <w:instrText xml:space="preserve"> PAGE   \* MERGEFORMAT </w:instrText>
        </w:r>
        <w:r>
          <w:fldChar w:fldCharType="separate"/>
        </w:r>
        <w:r w:rsidR="002E7665">
          <w:rPr>
            <w:noProof/>
          </w:rPr>
          <w:t>17</w:t>
        </w:r>
        <w:r>
          <w:rPr>
            <w:noProof/>
          </w:rPr>
          <w:fldChar w:fldCharType="end"/>
        </w:r>
      </w:p>
    </w:sdtContent>
  </w:sdt>
  <w:p w:rsidR="00DD2A06" w:rsidRDefault="00DD2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06" w:rsidRDefault="00DD2A06">
      <w:pPr>
        <w:spacing w:after="0"/>
      </w:pPr>
      <w:r>
        <w:separator/>
      </w:r>
    </w:p>
  </w:footnote>
  <w:footnote w:type="continuationSeparator" w:id="0">
    <w:p w:rsidR="00DD2A06" w:rsidRDefault="00DD2A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06" w:rsidRDefault="002E7665">
    <w:pPr>
      <w:pStyle w:val="Header"/>
    </w:pPr>
    <w:sdt>
      <w:sdtPr>
        <w:id w:val="-2063089987"/>
        <w:docPartObj>
          <w:docPartGallery w:val="Page Numbers (Top of Page)"/>
          <w:docPartUnique/>
        </w:docPartObj>
      </w:sdtPr>
      <w:sdtEndPr>
        <w:rPr>
          <w:noProof/>
        </w:rPr>
      </w:sdtEndPr>
      <w:sdtContent>
        <w:r w:rsidR="00DD2A06">
          <w:fldChar w:fldCharType="begin"/>
        </w:r>
        <w:r w:rsidR="00DD2A06">
          <w:instrText xml:space="preserve"> PAGE   \* MERGEFORMAT </w:instrText>
        </w:r>
        <w:r w:rsidR="00DD2A06">
          <w:fldChar w:fldCharType="separate"/>
        </w:r>
        <w:r>
          <w:rPr>
            <w:noProof/>
          </w:rPr>
          <w:t>17</w:t>
        </w:r>
        <w:r w:rsidR="00DD2A06">
          <w:rPr>
            <w:noProof/>
          </w:rPr>
          <w:fldChar w:fldCharType="end"/>
        </w:r>
      </w:sdtContent>
    </w:sdt>
  </w:p>
  <w:p w:rsidR="00DD2A06" w:rsidRDefault="00DD2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06" w:rsidRDefault="00DD2A06" w:rsidP="00DD2A06">
    <w:pPr>
      <w:pStyle w:val="Header"/>
    </w:pPr>
    <w:r>
      <w:rPr>
        <w:noProof/>
        <w:lang w:eastAsia="en-GB"/>
      </w:rPr>
      <w:drawing>
        <wp:anchor distT="0" distB="0" distL="114300" distR="114300" simplePos="0" relativeHeight="251658240" behindDoc="1" locked="0" layoutInCell="1" allowOverlap="1">
          <wp:simplePos x="0" y="0"/>
          <wp:positionH relativeFrom="column">
            <wp:posOffset>-895985</wp:posOffset>
          </wp:positionH>
          <wp:positionV relativeFrom="paragraph">
            <wp:posOffset>-479425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BB5AB2"/>
    <w:multiLevelType w:val="hybridMultilevel"/>
    <w:tmpl w:val="432A1498"/>
    <w:lvl w:ilvl="0" w:tplc="F2B0CBF4">
      <w:start w:val="1"/>
      <w:numFmt w:val="bullet"/>
      <w:lvlText w:val="o"/>
      <w:lvlJc w:val="left"/>
      <w:pPr>
        <w:ind w:left="1222" w:hanging="360"/>
      </w:pPr>
      <w:rPr>
        <w:rFonts w:ascii="Courier New" w:hAnsi="Courier New" w:cs="Courier New" w:hint="default"/>
      </w:rPr>
    </w:lvl>
    <w:lvl w:ilvl="1" w:tplc="0102FA30" w:tentative="1">
      <w:start w:val="1"/>
      <w:numFmt w:val="bullet"/>
      <w:lvlText w:val="o"/>
      <w:lvlJc w:val="left"/>
      <w:pPr>
        <w:ind w:left="1942" w:hanging="360"/>
      </w:pPr>
      <w:rPr>
        <w:rFonts w:ascii="Courier New" w:hAnsi="Courier New" w:cs="Courier New" w:hint="default"/>
      </w:rPr>
    </w:lvl>
    <w:lvl w:ilvl="2" w:tplc="C0FE6118" w:tentative="1">
      <w:start w:val="1"/>
      <w:numFmt w:val="bullet"/>
      <w:lvlText w:val=""/>
      <w:lvlJc w:val="left"/>
      <w:pPr>
        <w:ind w:left="2662" w:hanging="360"/>
      </w:pPr>
      <w:rPr>
        <w:rFonts w:ascii="Wingdings" w:hAnsi="Wingdings" w:hint="default"/>
      </w:rPr>
    </w:lvl>
    <w:lvl w:ilvl="3" w:tplc="36D4DD36" w:tentative="1">
      <w:start w:val="1"/>
      <w:numFmt w:val="bullet"/>
      <w:lvlText w:val=""/>
      <w:lvlJc w:val="left"/>
      <w:pPr>
        <w:ind w:left="3382" w:hanging="360"/>
      </w:pPr>
      <w:rPr>
        <w:rFonts w:ascii="Symbol" w:hAnsi="Symbol" w:hint="default"/>
      </w:rPr>
    </w:lvl>
    <w:lvl w:ilvl="4" w:tplc="119A8FDA" w:tentative="1">
      <w:start w:val="1"/>
      <w:numFmt w:val="bullet"/>
      <w:lvlText w:val="o"/>
      <w:lvlJc w:val="left"/>
      <w:pPr>
        <w:ind w:left="4102" w:hanging="360"/>
      </w:pPr>
      <w:rPr>
        <w:rFonts w:ascii="Courier New" w:hAnsi="Courier New" w:cs="Courier New" w:hint="default"/>
      </w:rPr>
    </w:lvl>
    <w:lvl w:ilvl="5" w:tplc="0DCC9702" w:tentative="1">
      <w:start w:val="1"/>
      <w:numFmt w:val="bullet"/>
      <w:lvlText w:val=""/>
      <w:lvlJc w:val="left"/>
      <w:pPr>
        <w:ind w:left="4822" w:hanging="360"/>
      </w:pPr>
      <w:rPr>
        <w:rFonts w:ascii="Wingdings" w:hAnsi="Wingdings" w:hint="default"/>
      </w:rPr>
    </w:lvl>
    <w:lvl w:ilvl="6" w:tplc="CAE8C668" w:tentative="1">
      <w:start w:val="1"/>
      <w:numFmt w:val="bullet"/>
      <w:lvlText w:val=""/>
      <w:lvlJc w:val="left"/>
      <w:pPr>
        <w:ind w:left="5542" w:hanging="360"/>
      </w:pPr>
      <w:rPr>
        <w:rFonts w:ascii="Symbol" w:hAnsi="Symbol" w:hint="default"/>
      </w:rPr>
    </w:lvl>
    <w:lvl w:ilvl="7" w:tplc="1A4062D6" w:tentative="1">
      <w:start w:val="1"/>
      <w:numFmt w:val="bullet"/>
      <w:lvlText w:val="o"/>
      <w:lvlJc w:val="left"/>
      <w:pPr>
        <w:ind w:left="6262" w:hanging="360"/>
      </w:pPr>
      <w:rPr>
        <w:rFonts w:ascii="Courier New" w:hAnsi="Courier New" w:cs="Courier New" w:hint="default"/>
      </w:rPr>
    </w:lvl>
    <w:lvl w:ilvl="8" w:tplc="1E3EB5E6" w:tentative="1">
      <w:start w:val="1"/>
      <w:numFmt w:val="bullet"/>
      <w:lvlText w:val=""/>
      <w:lvlJc w:val="left"/>
      <w:pPr>
        <w:ind w:left="6982" w:hanging="360"/>
      </w:pPr>
      <w:rPr>
        <w:rFonts w:ascii="Wingdings" w:hAnsi="Wingdings" w:hint="default"/>
      </w:rPr>
    </w:lvl>
  </w:abstractNum>
  <w:abstractNum w:abstractNumId="21" w15:restartNumberingAfterBreak="0">
    <w:nsid w:val="073E17C5"/>
    <w:multiLevelType w:val="multilevel"/>
    <w:tmpl w:val="0D9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2DE378D"/>
    <w:multiLevelType w:val="hybridMultilevel"/>
    <w:tmpl w:val="669255CA"/>
    <w:lvl w:ilvl="0" w:tplc="84F06300">
      <w:start w:val="1"/>
      <w:numFmt w:val="bullet"/>
      <w:pStyle w:val="Bullet"/>
      <w:lvlText w:val=""/>
      <w:lvlJc w:val="left"/>
      <w:pPr>
        <w:ind w:left="363" w:hanging="360"/>
      </w:pPr>
      <w:rPr>
        <w:rFonts w:ascii="Symbol" w:hAnsi="Symbol" w:hint="default"/>
      </w:rPr>
    </w:lvl>
    <w:lvl w:ilvl="1" w:tplc="4F9EBC12">
      <w:start w:val="1"/>
      <w:numFmt w:val="bullet"/>
      <w:pStyle w:val="Bullet-indent"/>
      <w:lvlText w:val="o"/>
      <w:lvlJc w:val="left"/>
      <w:pPr>
        <w:ind w:left="1083" w:hanging="360"/>
      </w:pPr>
      <w:rPr>
        <w:rFonts w:ascii="Courier New" w:hAnsi="Courier New" w:cs="Courier New" w:hint="default"/>
      </w:rPr>
    </w:lvl>
    <w:lvl w:ilvl="2" w:tplc="7D280A92" w:tentative="1">
      <w:start w:val="1"/>
      <w:numFmt w:val="bullet"/>
      <w:lvlText w:val=""/>
      <w:lvlJc w:val="left"/>
      <w:pPr>
        <w:ind w:left="1803" w:hanging="360"/>
      </w:pPr>
      <w:rPr>
        <w:rFonts w:ascii="Wingdings" w:hAnsi="Wingdings" w:hint="default"/>
      </w:rPr>
    </w:lvl>
    <w:lvl w:ilvl="3" w:tplc="FA3EBBB0" w:tentative="1">
      <w:start w:val="1"/>
      <w:numFmt w:val="bullet"/>
      <w:lvlText w:val=""/>
      <w:lvlJc w:val="left"/>
      <w:pPr>
        <w:ind w:left="2523" w:hanging="360"/>
      </w:pPr>
      <w:rPr>
        <w:rFonts w:ascii="Symbol" w:hAnsi="Symbol" w:hint="default"/>
      </w:rPr>
    </w:lvl>
    <w:lvl w:ilvl="4" w:tplc="04081C04" w:tentative="1">
      <w:start w:val="1"/>
      <w:numFmt w:val="bullet"/>
      <w:lvlText w:val="o"/>
      <w:lvlJc w:val="left"/>
      <w:pPr>
        <w:ind w:left="3243" w:hanging="360"/>
      </w:pPr>
      <w:rPr>
        <w:rFonts w:ascii="Courier New" w:hAnsi="Courier New" w:cs="Courier New" w:hint="default"/>
      </w:rPr>
    </w:lvl>
    <w:lvl w:ilvl="5" w:tplc="3FF4C084" w:tentative="1">
      <w:start w:val="1"/>
      <w:numFmt w:val="bullet"/>
      <w:lvlText w:val=""/>
      <w:lvlJc w:val="left"/>
      <w:pPr>
        <w:ind w:left="3963" w:hanging="360"/>
      </w:pPr>
      <w:rPr>
        <w:rFonts w:ascii="Wingdings" w:hAnsi="Wingdings" w:hint="default"/>
      </w:rPr>
    </w:lvl>
    <w:lvl w:ilvl="6" w:tplc="38E86B26" w:tentative="1">
      <w:start w:val="1"/>
      <w:numFmt w:val="bullet"/>
      <w:lvlText w:val=""/>
      <w:lvlJc w:val="left"/>
      <w:pPr>
        <w:ind w:left="4683" w:hanging="360"/>
      </w:pPr>
      <w:rPr>
        <w:rFonts w:ascii="Symbol" w:hAnsi="Symbol" w:hint="default"/>
      </w:rPr>
    </w:lvl>
    <w:lvl w:ilvl="7" w:tplc="1F765EDC" w:tentative="1">
      <w:start w:val="1"/>
      <w:numFmt w:val="bullet"/>
      <w:lvlText w:val="o"/>
      <w:lvlJc w:val="left"/>
      <w:pPr>
        <w:ind w:left="5403" w:hanging="360"/>
      </w:pPr>
      <w:rPr>
        <w:rFonts w:ascii="Courier New" w:hAnsi="Courier New" w:cs="Courier New" w:hint="default"/>
      </w:rPr>
    </w:lvl>
    <w:lvl w:ilvl="8" w:tplc="BB48716E" w:tentative="1">
      <w:start w:val="1"/>
      <w:numFmt w:val="bullet"/>
      <w:lvlText w:val=""/>
      <w:lvlJc w:val="left"/>
      <w:pPr>
        <w:ind w:left="6123" w:hanging="360"/>
      </w:pPr>
      <w:rPr>
        <w:rFonts w:ascii="Wingdings" w:hAnsi="Wingdings" w:hint="default"/>
      </w:rPr>
    </w:lvl>
  </w:abstractNum>
  <w:abstractNum w:abstractNumId="23" w15:restartNumberingAfterBreak="0">
    <w:nsid w:val="338E1B06"/>
    <w:multiLevelType w:val="hybridMultilevel"/>
    <w:tmpl w:val="C8C6DC48"/>
    <w:lvl w:ilvl="0" w:tplc="EB9AF482">
      <w:start w:val="1"/>
      <w:numFmt w:val="bullet"/>
      <w:lvlText w:val=""/>
      <w:lvlJc w:val="left"/>
      <w:pPr>
        <w:ind w:left="720" w:hanging="360"/>
      </w:pPr>
      <w:rPr>
        <w:rFonts w:ascii="Symbol" w:hAnsi="Symbol" w:hint="default"/>
      </w:rPr>
    </w:lvl>
    <w:lvl w:ilvl="1" w:tplc="9F56347E" w:tentative="1">
      <w:start w:val="1"/>
      <w:numFmt w:val="bullet"/>
      <w:lvlText w:val="o"/>
      <w:lvlJc w:val="left"/>
      <w:pPr>
        <w:ind w:left="1440" w:hanging="360"/>
      </w:pPr>
      <w:rPr>
        <w:rFonts w:ascii="Courier New" w:hAnsi="Courier New" w:cs="Courier New" w:hint="default"/>
      </w:rPr>
    </w:lvl>
    <w:lvl w:ilvl="2" w:tplc="4AA046DC" w:tentative="1">
      <w:start w:val="1"/>
      <w:numFmt w:val="bullet"/>
      <w:lvlText w:val=""/>
      <w:lvlJc w:val="left"/>
      <w:pPr>
        <w:ind w:left="2160" w:hanging="360"/>
      </w:pPr>
      <w:rPr>
        <w:rFonts w:ascii="Wingdings" w:hAnsi="Wingdings" w:hint="default"/>
      </w:rPr>
    </w:lvl>
    <w:lvl w:ilvl="3" w:tplc="FD869E56" w:tentative="1">
      <w:start w:val="1"/>
      <w:numFmt w:val="bullet"/>
      <w:lvlText w:val=""/>
      <w:lvlJc w:val="left"/>
      <w:pPr>
        <w:ind w:left="2880" w:hanging="360"/>
      </w:pPr>
      <w:rPr>
        <w:rFonts w:ascii="Symbol" w:hAnsi="Symbol" w:hint="default"/>
      </w:rPr>
    </w:lvl>
    <w:lvl w:ilvl="4" w:tplc="EC38A80C" w:tentative="1">
      <w:start w:val="1"/>
      <w:numFmt w:val="bullet"/>
      <w:lvlText w:val="o"/>
      <w:lvlJc w:val="left"/>
      <w:pPr>
        <w:ind w:left="3600" w:hanging="360"/>
      </w:pPr>
      <w:rPr>
        <w:rFonts w:ascii="Courier New" w:hAnsi="Courier New" w:cs="Courier New" w:hint="default"/>
      </w:rPr>
    </w:lvl>
    <w:lvl w:ilvl="5" w:tplc="81DC46EC" w:tentative="1">
      <w:start w:val="1"/>
      <w:numFmt w:val="bullet"/>
      <w:lvlText w:val=""/>
      <w:lvlJc w:val="left"/>
      <w:pPr>
        <w:ind w:left="4320" w:hanging="360"/>
      </w:pPr>
      <w:rPr>
        <w:rFonts w:ascii="Wingdings" w:hAnsi="Wingdings" w:hint="default"/>
      </w:rPr>
    </w:lvl>
    <w:lvl w:ilvl="6" w:tplc="45449F4C" w:tentative="1">
      <w:start w:val="1"/>
      <w:numFmt w:val="bullet"/>
      <w:lvlText w:val=""/>
      <w:lvlJc w:val="left"/>
      <w:pPr>
        <w:ind w:left="5040" w:hanging="360"/>
      </w:pPr>
      <w:rPr>
        <w:rFonts w:ascii="Symbol" w:hAnsi="Symbol" w:hint="default"/>
      </w:rPr>
    </w:lvl>
    <w:lvl w:ilvl="7" w:tplc="C8C8555E" w:tentative="1">
      <w:start w:val="1"/>
      <w:numFmt w:val="bullet"/>
      <w:lvlText w:val="o"/>
      <w:lvlJc w:val="left"/>
      <w:pPr>
        <w:ind w:left="5760" w:hanging="360"/>
      </w:pPr>
      <w:rPr>
        <w:rFonts w:ascii="Courier New" w:hAnsi="Courier New" w:cs="Courier New" w:hint="default"/>
      </w:rPr>
    </w:lvl>
    <w:lvl w:ilvl="8" w:tplc="591638A4" w:tentative="1">
      <w:start w:val="1"/>
      <w:numFmt w:val="bullet"/>
      <w:lvlText w:val=""/>
      <w:lvlJc w:val="left"/>
      <w:pPr>
        <w:ind w:left="6480" w:hanging="360"/>
      </w:pPr>
      <w:rPr>
        <w:rFonts w:ascii="Wingdings" w:hAnsi="Wingdings" w:hint="default"/>
      </w:rPr>
    </w:lvl>
  </w:abstractNum>
  <w:abstractNum w:abstractNumId="24" w15:restartNumberingAfterBreak="0">
    <w:nsid w:val="37573839"/>
    <w:multiLevelType w:val="hybridMultilevel"/>
    <w:tmpl w:val="5118811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3CD21179"/>
    <w:multiLevelType w:val="hybridMultilevel"/>
    <w:tmpl w:val="FC2CECA6"/>
    <w:lvl w:ilvl="0" w:tplc="664610F2">
      <w:start w:val="1"/>
      <w:numFmt w:val="bullet"/>
      <w:lvlText w:val=""/>
      <w:lvlJc w:val="left"/>
      <w:pPr>
        <w:ind w:left="720" w:hanging="360"/>
      </w:pPr>
      <w:rPr>
        <w:rFonts w:ascii="Symbol" w:hAnsi="Symbol" w:hint="default"/>
      </w:rPr>
    </w:lvl>
    <w:lvl w:ilvl="1" w:tplc="846CA0CC">
      <w:start w:val="1"/>
      <w:numFmt w:val="bullet"/>
      <w:lvlText w:val="o"/>
      <w:lvlJc w:val="left"/>
      <w:pPr>
        <w:ind w:left="1353" w:hanging="360"/>
      </w:pPr>
      <w:rPr>
        <w:rFonts w:ascii="Courier New" w:hAnsi="Courier New" w:cs="Courier New" w:hint="default"/>
      </w:rPr>
    </w:lvl>
    <w:lvl w:ilvl="2" w:tplc="3230AFCE">
      <w:start w:val="1"/>
      <w:numFmt w:val="bullet"/>
      <w:lvlText w:val=""/>
      <w:lvlJc w:val="left"/>
      <w:pPr>
        <w:ind w:left="2160" w:hanging="360"/>
      </w:pPr>
      <w:rPr>
        <w:rFonts w:ascii="Wingdings" w:hAnsi="Wingdings" w:hint="default"/>
      </w:rPr>
    </w:lvl>
    <w:lvl w:ilvl="3" w:tplc="E01C4C18" w:tentative="1">
      <w:start w:val="1"/>
      <w:numFmt w:val="bullet"/>
      <w:lvlText w:val=""/>
      <w:lvlJc w:val="left"/>
      <w:pPr>
        <w:ind w:left="2880" w:hanging="360"/>
      </w:pPr>
      <w:rPr>
        <w:rFonts w:ascii="Symbol" w:hAnsi="Symbol" w:hint="default"/>
      </w:rPr>
    </w:lvl>
    <w:lvl w:ilvl="4" w:tplc="A3AC92C0" w:tentative="1">
      <w:start w:val="1"/>
      <w:numFmt w:val="bullet"/>
      <w:lvlText w:val="o"/>
      <w:lvlJc w:val="left"/>
      <w:pPr>
        <w:ind w:left="3600" w:hanging="360"/>
      </w:pPr>
      <w:rPr>
        <w:rFonts w:ascii="Courier New" w:hAnsi="Courier New" w:cs="Courier New" w:hint="default"/>
      </w:rPr>
    </w:lvl>
    <w:lvl w:ilvl="5" w:tplc="4B36CC48" w:tentative="1">
      <w:start w:val="1"/>
      <w:numFmt w:val="bullet"/>
      <w:lvlText w:val=""/>
      <w:lvlJc w:val="left"/>
      <w:pPr>
        <w:ind w:left="4320" w:hanging="360"/>
      </w:pPr>
      <w:rPr>
        <w:rFonts w:ascii="Wingdings" w:hAnsi="Wingdings" w:hint="default"/>
      </w:rPr>
    </w:lvl>
    <w:lvl w:ilvl="6" w:tplc="6C8A6BB8" w:tentative="1">
      <w:start w:val="1"/>
      <w:numFmt w:val="bullet"/>
      <w:lvlText w:val=""/>
      <w:lvlJc w:val="left"/>
      <w:pPr>
        <w:ind w:left="5040" w:hanging="360"/>
      </w:pPr>
      <w:rPr>
        <w:rFonts w:ascii="Symbol" w:hAnsi="Symbol" w:hint="default"/>
      </w:rPr>
    </w:lvl>
    <w:lvl w:ilvl="7" w:tplc="D4F696B0" w:tentative="1">
      <w:start w:val="1"/>
      <w:numFmt w:val="bullet"/>
      <w:lvlText w:val="o"/>
      <w:lvlJc w:val="left"/>
      <w:pPr>
        <w:ind w:left="5760" w:hanging="360"/>
      </w:pPr>
      <w:rPr>
        <w:rFonts w:ascii="Courier New" w:hAnsi="Courier New" w:cs="Courier New" w:hint="default"/>
      </w:rPr>
    </w:lvl>
    <w:lvl w:ilvl="8" w:tplc="78FE0D1A" w:tentative="1">
      <w:start w:val="1"/>
      <w:numFmt w:val="bullet"/>
      <w:lvlText w:val=""/>
      <w:lvlJc w:val="left"/>
      <w:pPr>
        <w:ind w:left="6480" w:hanging="360"/>
      </w:pPr>
      <w:rPr>
        <w:rFonts w:ascii="Wingdings" w:hAnsi="Wingdings" w:hint="default"/>
      </w:rPr>
    </w:lvl>
  </w:abstractNum>
  <w:abstractNum w:abstractNumId="26" w15:restartNumberingAfterBreak="0">
    <w:nsid w:val="420860A3"/>
    <w:multiLevelType w:val="hybridMultilevel"/>
    <w:tmpl w:val="2DF6A548"/>
    <w:lvl w:ilvl="0" w:tplc="71C05592">
      <w:start w:val="1"/>
      <w:numFmt w:val="decimal"/>
      <w:pStyle w:val="Heading2-numbered"/>
      <w:lvlText w:val="%1."/>
      <w:lvlJc w:val="left"/>
      <w:pPr>
        <w:ind w:left="360" w:hanging="360"/>
      </w:pPr>
    </w:lvl>
    <w:lvl w:ilvl="1" w:tplc="25023D0E" w:tentative="1">
      <w:start w:val="1"/>
      <w:numFmt w:val="lowerLetter"/>
      <w:lvlText w:val="%2."/>
      <w:lvlJc w:val="left"/>
      <w:pPr>
        <w:ind w:left="1080" w:hanging="360"/>
      </w:pPr>
    </w:lvl>
    <w:lvl w:ilvl="2" w:tplc="9114160E" w:tentative="1">
      <w:start w:val="1"/>
      <w:numFmt w:val="lowerRoman"/>
      <w:lvlText w:val="%3."/>
      <w:lvlJc w:val="right"/>
      <w:pPr>
        <w:ind w:left="1800" w:hanging="180"/>
      </w:pPr>
    </w:lvl>
    <w:lvl w:ilvl="3" w:tplc="9474A518" w:tentative="1">
      <w:start w:val="1"/>
      <w:numFmt w:val="decimal"/>
      <w:lvlText w:val="%4."/>
      <w:lvlJc w:val="left"/>
      <w:pPr>
        <w:ind w:left="2520" w:hanging="360"/>
      </w:pPr>
    </w:lvl>
    <w:lvl w:ilvl="4" w:tplc="F51CD358" w:tentative="1">
      <w:start w:val="1"/>
      <w:numFmt w:val="lowerLetter"/>
      <w:lvlText w:val="%5."/>
      <w:lvlJc w:val="left"/>
      <w:pPr>
        <w:ind w:left="3240" w:hanging="360"/>
      </w:pPr>
    </w:lvl>
    <w:lvl w:ilvl="5" w:tplc="6A18B51C" w:tentative="1">
      <w:start w:val="1"/>
      <w:numFmt w:val="lowerRoman"/>
      <w:lvlText w:val="%6."/>
      <w:lvlJc w:val="right"/>
      <w:pPr>
        <w:ind w:left="3960" w:hanging="180"/>
      </w:pPr>
    </w:lvl>
    <w:lvl w:ilvl="6" w:tplc="9704DDBC" w:tentative="1">
      <w:start w:val="1"/>
      <w:numFmt w:val="decimal"/>
      <w:lvlText w:val="%7."/>
      <w:lvlJc w:val="left"/>
      <w:pPr>
        <w:ind w:left="4680" w:hanging="360"/>
      </w:pPr>
    </w:lvl>
    <w:lvl w:ilvl="7" w:tplc="2A62587C" w:tentative="1">
      <w:start w:val="1"/>
      <w:numFmt w:val="lowerLetter"/>
      <w:lvlText w:val="%8."/>
      <w:lvlJc w:val="left"/>
      <w:pPr>
        <w:ind w:left="5400" w:hanging="360"/>
      </w:pPr>
    </w:lvl>
    <w:lvl w:ilvl="8" w:tplc="1E46E244" w:tentative="1">
      <w:start w:val="1"/>
      <w:numFmt w:val="lowerRoman"/>
      <w:lvlText w:val="%9."/>
      <w:lvlJc w:val="right"/>
      <w:pPr>
        <w:ind w:left="6120" w:hanging="180"/>
      </w:pPr>
    </w:lvl>
  </w:abstractNum>
  <w:abstractNum w:abstractNumId="27" w15:restartNumberingAfterBreak="0">
    <w:nsid w:val="4E097B18"/>
    <w:multiLevelType w:val="hybridMultilevel"/>
    <w:tmpl w:val="4A8A06F0"/>
    <w:lvl w:ilvl="0" w:tplc="E9A4FCD2">
      <w:start w:val="1"/>
      <w:numFmt w:val="bullet"/>
      <w:lvlText w:val=""/>
      <w:lvlJc w:val="left"/>
      <w:pPr>
        <w:ind w:left="720" w:hanging="360"/>
      </w:pPr>
      <w:rPr>
        <w:rFonts w:ascii="Symbol" w:hAnsi="Symbol" w:hint="default"/>
      </w:rPr>
    </w:lvl>
    <w:lvl w:ilvl="1" w:tplc="90AA32C4" w:tentative="1">
      <w:start w:val="1"/>
      <w:numFmt w:val="bullet"/>
      <w:lvlText w:val="o"/>
      <w:lvlJc w:val="left"/>
      <w:pPr>
        <w:ind w:left="1440" w:hanging="360"/>
      </w:pPr>
      <w:rPr>
        <w:rFonts w:ascii="Courier New" w:hAnsi="Courier New" w:cs="Courier New" w:hint="default"/>
      </w:rPr>
    </w:lvl>
    <w:lvl w:ilvl="2" w:tplc="E99E148A" w:tentative="1">
      <w:start w:val="1"/>
      <w:numFmt w:val="bullet"/>
      <w:lvlText w:val=""/>
      <w:lvlJc w:val="left"/>
      <w:pPr>
        <w:ind w:left="2160" w:hanging="360"/>
      </w:pPr>
      <w:rPr>
        <w:rFonts w:ascii="Wingdings" w:hAnsi="Wingdings" w:hint="default"/>
      </w:rPr>
    </w:lvl>
    <w:lvl w:ilvl="3" w:tplc="693480F0" w:tentative="1">
      <w:start w:val="1"/>
      <w:numFmt w:val="bullet"/>
      <w:lvlText w:val=""/>
      <w:lvlJc w:val="left"/>
      <w:pPr>
        <w:ind w:left="2880" w:hanging="360"/>
      </w:pPr>
      <w:rPr>
        <w:rFonts w:ascii="Symbol" w:hAnsi="Symbol" w:hint="default"/>
      </w:rPr>
    </w:lvl>
    <w:lvl w:ilvl="4" w:tplc="0892421C" w:tentative="1">
      <w:start w:val="1"/>
      <w:numFmt w:val="bullet"/>
      <w:lvlText w:val="o"/>
      <w:lvlJc w:val="left"/>
      <w:pPr>
        <w:ind w:left="3600" w:hanging="360"/>
      </w:pPr>
      <w:rPr>
        <w:rFonts w:ascii="Courier New" w:hAnsi="Courier New" w:cs="Courier New" w:hint="default"/>
      </w:rPr>
    </w:lvl>
    <w:lvl w:ilvl="5" w:tplc="7B5C09F0" w:tentative="1">
      <w:start w:val="1"/>
      <w:numFmt w:val="bullet"/>
      <w:lvlText w:val=""/>
      <w:lvlJc w:val="left"/>
      <w:pPr>
        <w:ind w:left="4320" w:hanging="360"/>
      </w:pPr>
      <w:rPr>
        <w:rFonts w:ascii="Wingdings" w:hAnsi="Wingdings" w:hint="default"/>
      </w:rPr>
    </w:lvl>
    <w:lvl w:ilvl="6" w:tplc="B636D268" w:tentative="1">
      <w:start w:val="1"/>
      <w:numFmt w:val="bullet"/>
      <w:lvlText w:val=""/>
      <w:lvlJc w:val="left"/>
      <w:pPr>
        <w:ind w:left="5040" w:hanging="360"/>
      </w:pPr>
      <w:rPr>
        <w:rFonts w:ascii="Symbol" w:hAnsi="Symbol" w:hint="default"/>
      </w:rPr>
    </w:lvl>
    <w:lvl w:ilvl="7" w:tplc="9C18C67A" w:tentative="1">
      <w:start w:val="1"/>
      <w:numFmt w:val="bullet"/>
      <w:lvlText w:val="o"/>
      <w:lvlJc w:val="left"/>
      <w:pPr>
        <w:ind w:left="5760" w:hanging="360"/>
      </w:pPr>
      <w:rPr>
        <w:rFonts w:ascii="Courier New" w:hAnsi="Courier New" w:cs="Courier New" w:hint="default"/>
      </w:rPr>
    </w:lvl>
    <w:lvl w:ilvl="8" w:tplc="BC00C7D6" w:tentative="1">
      <w:start w:val="1"/>
      <w:numFmt w:val="bullet"/>
      <w:lvlText w:val=""/>
      <w:lvlJc w:val="left"/>
      <w:pPr>
        <w:ind w:left="6480" w:hanging="360"/>
      </w:pPr>
      <w:rPr>
        <w:rFonts w:ascii="Wingdings" w:hAnsi="Wingdings" w:hint="default"/>
      </w:rPr>
    </w:lvl>
  </w:abstractNum>
  <w:abstractNum w:abstractNumId="28" w15:restartNumberingAfterBreak="0">
    <w:nsid w:val="5089630A"/>
    <w:multiLevelType w:val="hybridMultilevel"/>
    <w:tmpl w:val="325691BA"/>
    <w:lvl w:ilvl="0" w:tplc="73145154">
      <w:start w:val="1"/>
      <w:numFmt w:val="bullet"/>
      <w:lvlText w:val=""/>
      <w:lvlJc w:val="left"/>
      <w:pPr>
        <w:ind w:left="502" w:hanging="360"/>
      </w:pPr>
      <w:rPr>
        <w:rFonts w:ascii="Symbol" w:hAnsi="Symbol" w:hint="default"/>
      </w:rPr>
    </w:lvl>
    <w:lvl w:ilvl="1" w:tplc="9B9652D2" w:tentative="1">
      <w:start w:val="1"/>
      <w:numFmt w:val="bullet"/>
      <w:lvlText w:val="o"/>
      <w:lvlJc w:val="left"/>
      <w:pPr>
        <w:ind w:left="1222" w:hanging="360"/>
      </w:pPr>
      <w:rPr>
        <w:rFonts w:ascii="Courier New" w:hAnsi="Courier New" w:cs="Courier New" w:hint="default"/>
      </w:rPr>
    </w:lvl>
    <w:lvl w:ilvl="2" w:tplc="B2A4B8AC" w:tentative="1">
      <w:start w:val="1"/>
      <w:numFmt w:val="bullet"/>
      <w:lvlText w:val=""/>
      <w:lvlJc w:val="left"/>
      <w:pPr>
        <w:ind w:left="1942" w:hanging="360"/>
      </w:pPr>
      <w:rPr>
        <w:rFonts w:ascii="Wingdings" w:hAnsi="Wingdings" w:hint="default"/>
      </w:rPr>
    </w:lvl>
    <w:lvl w:ilvl="3" w:tplc="112C16BA" w:tentative="1">
      <w:start w:val="1"/>
      <w:numFmt w:val="bullet"/>
      <w:lvlText w:val=""/>
      <w:lvlJc w:val="left"/>
      <w:pPr>
        <w:ind w:left="2662" w:hanging="360"/>
      </w:pPr>
      <w:rPr>
        <w:rFonts w:ascii="Symbol" w:hAnsi="Symbol" w:hint="default"/>
      </w:rPr>
    </w:lvl>
    <w:lvl w:ilvl="4" w:tplc="32288380" w:tentative="1">
      <w:start w:val="1"/>
      <w:numFmt w:val="bullet"/>
      <w:lvlText w:val="o"/>
      <w:lvlJc w:val="left"/>
      <w:pPr>
        <w:ind w:left="3382" w:hanging="360"/>
      </w:pPr>
      <w:rPr>
        <w:rFonts w:ascii="Courier New" w:hAnsi="Courier New" w:cs="Courier New" w:hint="default"/>
      </w:rPr>
    </w:lvl>
    <w:lvl w:ilvl="5" w:tplc="57A486DA" w:tentative="1">
      <w:start w:val="1"/>
      <w:numFmt w:val="bullet"/>
      <w:lvlText w:val=""/>
      <w:lvlJc w:val="left"/>
      <w:pPr>
        <w:ind w:left="4102" w:hanging="360"/>
      </w:pPr>
      <w:rPr>
        <w:rFonts w:ascii="Wingdings" w:hAnsi="Wingdings" w:hint="default"/>
      </w:rPr>
    </w:lvl>
    <w:lvl w:ilvl="6" w:tplc="D3D2B0E4" w:tentative="1">
      <w:start w:val="1"/>
      <w:numFmt w:val="bullet"/>
      <w:lvlText w:val=""/>
      <w:lvlJc w:val="left"/>
      <w:pPr>
        <w:ind w:left="4822" w:hanging="360"/>
      </w:pPr>
      <w:rPr>
        <w:rFonts w:ascii="Symbol" w:hAnsi="Symbol" w:hint="default"/>
      </w:rPr>
    </w:lvl>
    <w:lvl w:ilvl="7" w:tplc="CBA2A514" w:tentative="1">
      <w:start w:val="1"/>
      <w:numFmt w:val="bullet"/>
      <w:lvlText w:val="o"/>
      <w:lvlJc w:val="left"/>
      <w:pPr>
        <w:ind w:left="5542" w:hanging="360"/>
      </w:pPr>
      <w:rPr>
        <w:rFonts w:ascii="Courier New" w:hAnsi="Courier New" w:cs="Courier New" w:hint="default"/>
      </w:rPr>
    </w:lvl>
    <w:lvl w:ilvl="8" w:tplc="8774CE44" w:tentative="1">
      <w:start w:val="1"/>
      <w:numFmt w:val="bullet"/>
      <w:lvlText w:val=""/>
      <w:lvlJc w:val="left"/>
      <w:pPr>
        <w:ind w:left="6262" w:hanging="360"/>
      </w:pPr>
      <w:rPr>
        <w:rFonts w:ascii="Wingdings" w:hAnsi="Wingdings" w:hint="default"/>
      </w:rPr>
    </w:lvl>
  </w:abstractNum>
  <w:abstractNum w:abstractNumId="29" w15:restartNumberingAfterBreak="0">
    <w:nsid w:val="564E3D0E"/>
    <w:multiLevelType w:val="hybridMultilevel"/>
    <w:tmpl w:val="EE56084A"/>
    <w:lvl w:ilvl="0" w:tplc="8C2633CE">
      <w:start w:val="1"/>
      <w:numFmt w:val="bullet"/>
      <w:lvlText w:val=""/>
      <w:lvlJc w:val="left"/>
      <w:pPr>
        <w:ind w:left="720" w:hanging="360"/>
      </w:pPr>
      <w:rPr>
        <w:rFonts w:ascii="Symbol" w:hAnsi="Symbol" w:hint="default"/>
      </w:rPr>
    </w:lvl>
    <w:lvl w:ilvl="1" w:tplc="B65C675C" w:tentative="1">
      <w:start w:val="1"/>
      <w:numFmt w:val="bullet"/>
      <w:lvlText w:val="o"/>
      <w:lvlJc w:val="left"/>
      <w:pPr>
        <w:ind w:left="1440" w:hanging="360"/>
      </w:pPr>
      <w:rPr>
        <w:rFonts w:ascii="Courier New" w:hAnsi="Courier New" w:cs="Courier New" w:hint="default"/>
      </w:rPr>
    </w:lvl>
    <w:lvl w:ilvl="2" w:tplc="C1A451CC" w:tentative="1">
      <w:start w:val="1"/>
      <w:numFmt w:val="bullet"/>
      <w:lvlText w:val=""/>
      <w:lvlJc w:val="left"/>
      <w:pPr>
        <w:ind w:left="2160" w:hanging="360"/>
      </w:pPr>
      <w:rPr>
        <w:rFonts w:ascii="Wingdings" w:hAnsi="Wingdings" w:hint="default"/>
      </w:rPr>
    </w:lvl>
    <w:lvl w:ilvl="3" w:tplc="78ACD5AC" w:tentative="1">
      <w:start w:val="1"/>
      <w:numFmt w:val="bullet"/>
      <w:lvlText w:val=""/>
      <w:lvlJc w:val="left"/>
      <w:pPr>
        <w:ind w:left="2880" w:hanging="360"/>
      </w:pPr>
      <w:rPr>
        <w:rFonts w:ascii="Symbol" w:hAnsi="Symbol" w:hint="default"/>
      </w:rPr>
    </w:lvl>
    <w:lvl w:ilvl="4" w:tplc="B80AD58A" w:tentative="1">
      <w:start w:val="1"/>
      <w:numFmt w:val="bullet"/>
      <w:lvlText w:val="o"/>
      <w:lvlJc w:val="left"/>
      <w:pPr>
        <w:ind w:left="3600" w:hanging="360"/>
      </w:pPr>
      <w:rPr>
        <w:rFonts w:ascii="Courier New" w:hAnsi="Courier New" w:cs="Courier New" w:hint="default"/>
      </w:rPr>
    </w:lvl>
    <w:lvl w:ilvl="5" w:tplc="9F4CB9D4" w:tentative="1">
      <w:start w:val="1"/>
      <w:numFmt w:val="bullet"/>
      <w:lvlText w:val=""/>
      <w:lvlJc w:val="left"/>
      <w:pPr>
        <w:ind w:left="4320" w:hanging="360"/>
      </w:pPr>
      <w:rPr>
        <w:rFonts w:ascii="Wingdings" w:hAnsi="Wingdings" w:hint="default"/>
      </w:rPr>
    </w:lvl>
    <w:lvl w:ilvl="6" w:tplc="85F8DAE0" w:tentative="1">
      <w:start w:val="1"/>
      <w:numFmt w:val="bullet"/>
      <w:lvlText w:val=""/>
      <w:lvlJc w:val="left"/>
      <w:pPr>
        <w:ind w:left="5040" w:hanging="360"/>
      </w:pPr>
      <w:rPr>
        <w:rFonts w:ascii="Symbol" w:hAnsi="Symbol" w:hint="default"/>
      </w:rPr>
    </w:lvl>
    <w:lvl w:ilvl="7" w:tplc="6018F182" w:tentative="1">
      <w:start w:val="1"/>
      <w:numFmt w:val="bullet"/>
      <w:lvlText w:val="o"/>
      <w:lvlJc w:val="left"/>
      <w:pPr>
        <w:ind w:left="5760" w:hanging="360"/>
      </w:pPr>
      <w:rPr>
        <w:rFonts w:ascii="Courier New" w:hAnsi="Courier New" w:cs="Courier New" w:hint="default"/>
      </w:rPr>
    </w:lvl>
    <w:lvl w:ilvl="8" w:tplc="B4664B8C" w:tentative="1">
      <w:start w:val="1"/>
      <w:numFmt w:val="bullet"/>
      <w:lvlText w:val=""/>
      <w:lvlJc w:val="left"/>
      <w:pPr>
        <w:ind w:left="6480" w:hanging="360"/>
      </w:pPr>
      <w:rPr>
        <w:rFonts w:ascii="Wingdings" w:hAnsi="Wingdings" w:hint="default"/>
      </w:rPr>
    </w:lvl>
  </w:abstractNum>
  <w:abstractNum w:abstractNumId="30" w15:restartNumberingAfterBreak="0">
    <w:nsid w:val="59724625"/>
    <w:multiLevelType w:val="hybridMultilevel"/>
    <w:tmpl w:val="5DD2CC70"/>
    <w:lvl w:ilvl="0" w:tplc="1884FE96">
      <w:start w:val="1"/>
      <w:numFmt w:val="bullet"/>
      <w:lvlText w:val="o"/>
      <w:lvlJc w:val="left"/>
      <w:pPr>
        <w:ind w:left="2160" w:hanging="360"/>
      </w:pPr>
      <w:rPr>
        <w:rFonts w:ascii="Courier New" w:hAnsi="Courier New" w:cs="Courier New" w:hint="default"/>
      </w:rPr>
    </w:lvl>
    <w:lvl w:ilvl="1" w:tplc="57165A98" w:tentative="1">
      <w:start w:val="1"/>
      <w:numFmt w:val="bullet"/>
      <w:lvlText w:val="o"/>
      <w:lvlJc w:val="left"/>
      <w:pPr>
        <w:ind w:left="2880" w:hanging="360"/>
      </w:pPr>
      <w:rPr>
        <w:rFonts w:ascii="Courier New" w:hAnsi="Courier New" w:cs="Courier New" w:hint="default"/>
      </w:rPr>
    </w:lvl>
    <w:lvl w:ilvl="2" w:tplc="DC5430B0" w:tentative="1">
      <w:start w:val="1"/>
      <w:numFmt w:val="bullet"/>
      <w:lvlText w:val=""/>
      <w:lvlJc w:val="left"/>
      <w:pPr>
        <w:ind w:left="3600" w:hanging="360"/>
      </w:pPr>
      <w:rPr>
        <w:rFonts w:ascii="Wingdings" w:hAnsi="Wingdings" w:hint="default"/>
      </w:rPr>
    </w:lvl>
    <w:lvl w:ilvl="3" w:tplc="58B8F532" w:tentative="1">
      <w:start w:val="1"/>
      <w:numFmt w:val="bullet"/>
      <w:lvlText w:val=""/>
      <w:lvlJc w:val="left"/>
      <w:pPr>
        <w:ind w:left="4320" w:hanging="360"/>
      </w:pPr>
      <w:rPr>
        <w:rFonts w:ascii="Symbol" w:hAnsi="Symbol" w:hint="default"/>
      </w:rPr>
    </w:lvl>
    <w:lvl w:ilvl="4" w:tplc="26BA0868" w:tentative="1">
      <w:start w:val="1"/>
      <w:numFmt w:val="bullet"/>
      <w:lvlText w:val="o"/>
      <w:lvlJc w:val="left"/>
      <w:pPr>
        <w:ind w:left="5040" w:hanging="360"/>
      </w:pPr>
      <w:rPr>
        <w:rFonts w:ascii="Courier New" w:hAnsi="Courier New" w:cs="Courier New" w:hint="default"/>
      </w:rPr>
    </w:lvl>
    <w:lvl w:ilvl="5" w:tplc="BFE8BA62" w:tentative="1">
      <w:start w:val="1"/>
      <w:numFmt w:val="bullet"/>
      <w:lvlText w:val=""/>
      <w:lvlJc w:val="left"/>
      <w:pPr>
        <w:ind w:left="5760" w:hanging="360"/>
      </w:pPr>
      <w:rPr>
        <w:rFonts w:ascii="Wingdings" w:hAnsi="Wingdings" w:hint="default"/>
      </w:rPr>
    </w:lvl>
    <w:lvl w:ilvl="6" w:tplc="DE6A22A6" w:tentative="1">
      <w:start w:val="1"/>
      <w:numFmt w:val="bullet"/>
      <w:lvlText w:val=""/>
      <w:lvlJc w:val="left"/>
      <w:pPr>
        <w:ind w:left="6480" w:hanging="360"/>
      </w:pPr>
      <w:rPr>
        <w:rFonts w:ascii="Symbol" w:hAnsi="Symbol" w:hint="default"/>
      </w:rPr>
    </w:lvl>
    <w:lvl w:ilvl="7" w:tplc="9CAABB8E" w:tentative="1">
      <w:start w:val="1"/>
      <w:numFmt w:val="bullet"/>
      <w:lvlText w:val="o"/>
      <w:lvlJc w:val="left"/>
      <w:pPr>
        <w:ind w:left="7200" w:hanging="360"/>
      </w:pPr>
      <w:rPr>
        <w:rFonts w:ascii="Courier New" w:hAnsi="Courier New" w:cs="Courier New" w:hint="default"/>
      </w:rPr>
    </w:lvl>
    <w:lvl w:ilvl="8" w:tplc="C87CBC80" w:tentative="1">
      <w:start w:val="1"/>
      <w:numFmt w:val="bullet"/>
      <w:lvlText w:val=""/>
      <w:lvlJc w:val="left"/>
      <w:pPr>
        <w:ind w:left="7920" w:hanging="360"/>
      </w:pPr>
      <w:rPr>
        <w:rFonts w:ascii="Wingdings" w:hAnsi="Wingdings" w:hint="default"/>
      </w:rPr>
    </w:lvl>
  </w:abstractNum>
  <w:abstractNum w:abstractNumId="31" w15:restartNumberingAfterBreak="0">
    <w:nsid w:val="63C374F1"/>
    <w:multiLevelType w:val="hybridMultilevel"/>
    <w:tmpl w:val="A782BDFC"/>
    <w:lvl w:ilvl="0" w:tplc="AF70C754">
      <w:start w:val="1"/>
      <w:numFmt w:val="bullet"/>
      <w:lvlText w:val=""/>
      <w:lvlJc w:val="left"/>
      <w:pPr>
        <w:ind w:left="502" w:hanging="360"/>
      </w:pPr>
      <w:rPr>
        <w:rFonts w:ascii="Symbol" w:hAnsi="Symbol" w:hint="default"/>
      </w:rPr>
    </w:lvl>
    <w:lvl w:ilvl="1" w:tplc="5846FF6C">
      <w:numFmt w:val="bullet"/>
      <w:lvlText w:val="•"/>
      <w:lvlJc w:val="left"/>
      <w:pPr>
        <w:ind w:left="1440" w:hanging="360"/>
      </w:pPr>
      <w:rPr>
        <w:rFonts w:ascii="Arial" w:eastAsia="Calibri" w:hAnsi="Arial" w:cs="Arial" w:hint="default"/>
      </w:rPr>
    </w:lvl>
    <w:lvl w:ilvl="2" w:tplc="86061112" w:tentative="1">
      <w:start w:val="1"/>
      <w:numFmt w:val="bullet"/>
      <w:lvlText w:val=""/>
      <w:lvlJc w:val="left"/>
      <w:pPr>
        <w:ind w:left="2160" w:hanging="360"/>
      </w:pPr>
      <w:rPr>
        <w:rFonts w:ascii="Wingdings" w:hAnsi="Wingdings" w:hint="default"/>
      </w:rPr>
    </w:lvl>
    <w:lvl w:ilvl="3" w:tplc="259AE22E" w:tentative="1">
      <w:start w:val="1"/>
      <w:numFmt w:val="bullet"/>
      <w:lvlText w:val=""/>
      <w:lvlJc w:val="left"/>
      <w:pPr>
        <w:ind w:left="2880" w:hanging="360"/>
      </w:pPr>
      <w:rPr>
        <w:rFonts w:ascii="Symbol" w:hAnsi="Symbol" w:hint="default"/>
      </w:rPr>
    </w:lvl>
    <w:lvl w:ilvl="4" w:tplc="B350ADBC" w:tentative="1">
      <w:start w:val="1"/>
      <w:numFmt w:val="bullet"/>
      <w:lvlText w:val="o"/>
      <w:lvlJc w:val="left"/>
      <w:pPr>
        <w:ind w:left="3600" w:hanging="360"/>
      </w:pPr>
      <w:rPr>
        <w:rFonts w:ascii="Courier New" w:hAnsi="Courier New" w:cs="Courier New" w:hint="default"/>
      </w:rPr>
    </w:lvl>
    <w:lvl w:ilvl="5" w:tplc="B3FA13F0" w:tentative="1">
      <w:start w:val="1"/>
      <w:numFmt w:val="bullet"/>
      <w:lvlText w:val=""/>
      <w:lvlJc w:val="left"/>
      <w:pPr>
        <w:ind w:left="4320" w:hanging="360"/>
      </w:pPr>
      <w:rPr>
        <w:rFonts w:ascii="Wingdings" w:hAnsi="Wingdings" w:hint="default"/>
      </w:rPr>
    </w:lvl>
    <w:lvl w:ilvl="6" w:tplc="66149330" w:tentative="1">
      <w:start w:val="1"/>
      <w:numFmt w:val="bullet"/>
      <w:lvlText w:val=""/>
      <w:lvlJc w:val="left"/>
      <w:pPr>
        <w:ind w:left="5040" w:hanging="360"/>
      </w:pPr>
      <w:rPr>
        <w:rFonts w:ascii="Symbol" w:hAnsi="Symbol" w:hint="default"/>
      </w:rPr>
    </w:lvl>
    <w:lvl w:ilvl="7" w:tplc="07DE1EFE" w:tentative="1">
      <w:start w:val="1"/>
      <w:numFmt w:val="bullet"/>
      <w:lvlText w:val="o"/>
      <w:lvlJc w:val="left"/>
      <w:pPr>
        <w:ind w:left="5760" w:hanging="360"/>
      </w:pPr>
      <w:rPr>
        <w:rFonts w:ascii="Courier New" w:hAnsi="Courier New" w:cs="Courier New" w:hint="default"/>
      </w:rPr>
    </w:lvl>
    <w:lvl w:ilvl="8" w:tplc="6B004FA6" w:tentative="1">
      <w:start w:val="1"/>
      <w:numFmt w:val="bullet"/>
      <w:lvlText w:val=""/>
      <w:lvlJc w:val="left"/>
      <w:pPr>
        <w:ind w:left="6480" w:hanging="360"/>
      </w:pPr>
      <w:rPr>
        <w:rFonts w:ascii="Wingdings" w:hAnsi="Wingdings" w:hint="default"/>
      </w:rPr>
    </w:lvl>
  </w:abstractNum>
  <w:abstractNum w:abstractNumId="32" w15:restartNumberingAfterBreak="0">
    <w:nsid w:val="63F759CD"/>
    <w:multiLevelType w:val="hybridMultilevel"/>
    <w:tmpl w:val="6FF22088"/>
    <w:lvl w:ilvl="0" w:tplc="95CC24B0">
      <w:start w:val="1"/>
      <w:numFmt w:val="decimal"/>
      <w:pStyle w:val="Heading4"/>
      <w:lvlText w:val="%1."/>
      <w:lvlJc w:val="left"/>
      <w:pPr>
        <w:ind w:left="360" w:hanging="360"/>
      </w:pPr>
    </w:lvl>
    <w:lvl w:ilvl="1" w:tplc="E2A68D62" w:tentative="1">
      <w:start w:val="1"/>
      <w:numFmt w:val="lowerLetter"/>
      <w:lvlText w:val="%2."/>
      <w:lvlJc w:val="left"/>
      <w:pPr>
        <w:ind w:left="1080" w:hanging="360"/>
      </w:pPr>
    </w:lvl>
    <w:lvl w:ilvl="2" w:tplc="684A3C52" w:tentative="1">
      <w:start w:val="1"/>
      <w:numFmt w:val="lowerRoman"/>
      <w:lvlText w:val="%3."/>
      <w:lvlJc w:val="right"/>
      <w:pPr>
        <w:ind w:left="1800" w:hanging="180"/>
      </w:pPr>
    </w:lvl>
    <w:lvl w:ilvl="3" w:tplc="9E9688FC" w:tentative="1">
      <w:start w:val="1"/>
      <w:numFmt w:val="decimal"/>
      <w:lvlText w:val="%4."/>
      <w:lvlJc w:val="left"/>
      <w:pPr>
        <w:ind w:left="2520" w:hanging="360"/>
      </w:pPr>
    </w:lvl>
    <w:lvl w:ilvl="4" w:tplc="91E81128" w:tentative="1">
      <w:start w:val="1"/>
      <w:numFmt w:val="lowerLetter"/>
      <w:lvlText w:val="%5."/>
      <w:lvlJc w:val="left"/>
      <w:pPr>
        <w:ind w:left="3240" w:hanging="360"/>
      </w:pPr>
    </w:lvl>
    <w:lvl w:ilvl="5" w:tplc="9BF69642" w:tentative="1">
      <w:start w:val="1"/>
      <w:numFmt w:val="lowerRoman"/>
      <w:lvlText w:val="%6."/>
      <w:lvlJc w:val="right"/>
      <w:pPr>
        <w:ind w:left="3960" w:hanging="180"/>
      </w:pPr>
    </w:lvl>
    <w:lvl w:ilvl="6" w:tplc="DE66ADEE" w:tentative="1">
      <w:start w:val="1"/>
      <w:numFmt w:val="decimal"/>
      <w:lvlText w:val="%7."/>
      <w:lvlJc w:val="left"/>
      <w:pPr>
        <w:ind w:left="4680" w:hanging="360"/>
      </w:pPr>
    </w:lvl>
    <w:lvl w:ilvl="7" w:tplc="214CB5C4" w:tentative="1">
      <w:start w:val="1"/>
      <w:numFmt w:val="lowerLetter"/>
      <w:lvlText w:val="%8."/>
      <w:lvlJc w:val="left"/>
      <w:pPr>
        <w:ind w:left="5400" w:hanging="360"/>
      </w:pPr>
    </w:lvl>
    <w:lvl w:ilvl="8" w:tplc="AE662274" w:tentative="1">
      <w:start w:val="1"/>
      <w:numFmt w:val="lowerRoman"/>
      <w:lvlText w:val="%9."/>
      <w:lvlJc w:val="right"/>
      <w:pPr>
        <w:ind w:left="6120" w:hanging="180"/>
      </w:pPr>
    </w:lvl>
  </w:abstractNum>
  <w:abstractNum w:abstractNumId="33" w15:restartNumberingAfterBreak="0">
    <w:nsid w:val="6BFC7B04"/>
    <w:multiLevelType w:val="hybridMultilevel"/>
    <w:tmpl w:val="C9F452C8"/>
    <w:lvl w:ilvl="0" w:tplc="22EE5898">
      <w:start w:val="1"/>
      <w:numFmt w:val="decimal"/>
      <w:lvlText w:val="%1."/>
      <w:lvlJc w:val="left"/>
      <w:pPr>
        <w:ind w:left="930" w:hanging="570"/>
      </w:pPr>
      <w:rPr>
        <w:rFonts w:hint="default"/>
      </w:rPr>
    </w:lvl>
    <w:lvl w:ilvl="1" w:tplc="40685E2C">
      <w:start w:val="1"/>
      <w:numFmt w:val="lowerLetter"/>
      <w:lvlText w:val="%2."/>
      <w:lvlJc w:val="left"/>
      <w:pPr>
        <w:ind w:left="1440" w:hanging="360"/>
      </w:pPr>
    </w:lvl>
    <w:lvl w:ilvl="2" w:tplc="51BAE076" w:tentative="1">
      <w:start w:val="1"/>
      <w:numFmt w:val="lowerRoman"/>
      <w:lvlText w:val="%3."/>
      <w:lvlJc w:val="right"/>
      <w:pPr>
        <w:ind w:left="2160" w:hanging="180"/>
      </w:pPr>
    </w:lvl>
    <w:lvl w:ilvl="3" w:tplc="B5FAB0CE" w:tentative="1">
      <w:start w:val="1"/>
      <w:numFmt w:val="decimal"/>
      <w:lvlText w:val="%4."/>
      <w:lvlJc w:val="left"/>
      <w:pPr>
        <w:ind w:left="2880" w:hanging="360"/>
      </w:pPr>
    </w:lvl>
    <w:lvl w:ilvl="4" w:tplc="5846D14A" w:tentative="1">
      <w:start w:val="1"/>
      <w:numFmt w:val="lowerLetter"/>
      <w:lvlText w:val="%5."/>
      <w:lvlJc w:val="left"/>
      <w:pPr>
        <w:ind w:left="3600" w:hanging="360"/>
      </w:pPr>
    </w:lvl>
    <w:lvl w:ilvl="5" w:tplc="95C2E17A" w:tentative="1">
      <w:start w:val="1"/>
      <w:numFmt w:val="lowerRoman"/>
      <w:lvlText w:val="%6."/>
      <w:lvlJc w:val="right"/>
      <w:pPr>
        <w:ind w:left="4320" w:hanging="180"/>
      </w:pPr>
    </w:lvl>
    <w:lvl w:ilvl="6" w:tplc="89F2B1CC" w:tentative="1">
      <w:start w:val="1"/>
      <w:numFmt w:val="decimal"/>
      <w:lvlText w:val="%7."/>
      <w:lvlJc w:val="left"/>
      <w:pPr>
        <w:ind w:left="5040" w:hanging="360"/>
      </w:pPr>
    </w:lvl>
    <w:lvl w:ilvl="7" w:tplc="6F884B00" w:tentative="1">
      <w:start w:val="1"/>
      <w:numFmt w:val="lowerLetter"/>
      <w:lvlText w:val="%8."/>
      <w:lvlJc w:val="left"/>
      <w:pPr>
        <w:ind w:left="5760" w:hanging="360"/>
      </w:pPr>
    </w:lvl>
    <w:lvl w:ilvl="8" w:tplc="B52E3448" w:tentative="1">
      <w:start w:val="1"/>
      <w:numFmt w:val="lowerRoman"/>
      <w:lvlText w:val="%9."/>
      <w:lvlJc w:val="right"/>
      <w:pPr>
        <w:ind w:left="6480" w:hanging="180"/>
      </w:pPr>
    </w:lvl>
  </w:abstractNum>
  <w:abstractNum w:abstractNumId="34" w15:restartNumberingAfterBreak="0">
    <w:nsid w:val="712C6B77"/>
    <w:multiLevelType w:val="hybridMultilevel"/>
    <w:tmpl w:val="808278F0"/>
    <w:lvl w:ilvl="0" w:tplc="8E2CAF12">
      <w:start w:val="1"/>
      <w:numFmt w:val="decimal"/>
      <w:pStyle w:val="Heading3-numbered"/>
      <w:lvlText w:val="%1."/>
      <w:lvlJc w:val="left"/>
      <w:pPr>
        <w:ind w:left="360" w:hanging="360"/>
      </w:pPr>
      <w:rPr>
        <w:b/>
        <w:i w:val="0"/>
        <w:color w:val="auto"/>
        <w:sz w:val="28"/>
        <w:szCs w:val="28"/>
      </w:rPr>
    </w:lvl>
    <w:lvl w:ilvl="1" w:tplc="C132102E" w:tentative="1">
      <w:start w:val="1"/>
      <w:numFmt w:val="lowerLetter"/>
      <w:lvlText w:val="%2."/>
      <w:lvlJc w:val="left"/>
      <w:pPr>
        <w:ind w:left="1080" w:hanging="360"/>
      </w:pPr>
    </w:lvl>
    <w:lvl w:ilvl="2" w:tplc="1D8A9F96" w:tentative="1">
      <w:start w:val="1"/>
      <w:numFmt w:val="lowerRoman"/>
      <w:lvlText w:val="%3."/>
      <w:lvlJc w:val="right"/>
      <w:pPr>
        <w:ind w:left="1800" w:hanging="180"/>
      </w:pPr>
    </w:lvl>
    <w:lvl w:ilvl="3" w:tplc="DA941304" w:tentative="1">
      <w:start w:val="1"/>
      <w:numFmt w:val="decimal"/>
      <w:lvlText w:val="%4."/>
      <w:lvlJc w:val="left"/>
      <w:pPr>
        <w:ind w:left="2520" w:hanging="360"/>
      </w:pPr>
    </w:lvl>
    <w:lvl w:ilvl="4" w:tplc="C7FCC17C" w:tentative="1">
      <w:start w:val="1"/>
      <w:numFmt w:val="lowerLetter"/>
      <w:lvlText w:val="%5."/>
      <w:lvlJc w:val="left"/>
      <w:pPr>
        <w:ind w:left="3240" w:hanging="360"/>
      </w:pPr>
    </w:lvl>
    <w:lvl w:ilvl="5" w:tplc="3D3A41A2" w:tentative="1">
      <w:start w:val="1"/>
      <w:numFmt w:val="lowerRoman"/>
      <w:lvlText w:val="%6."/>
      <w:lvlJc w:val="right"/>
      <w:pPr>
        <w:ind w:left="3960" w:hanging="180"/>
      </w:pPr>
    </w:lvl>
    <w:lvl w:ilvl="6" w:tplc="7308664A" w:tentative="1">
      <w:start w:val="1"/>
      <w:numFmt w:val="decimal"/>
      <w:lvlText w:val="%7."/>
      <w:lvlJc w:val="left"/>
      <w:pPr>
        <w:ind w:left="4680" w:hanging="360"/>
      </w:pPr>
    </w:lvl>
    <w:lvl w:ilvl="7" w:tplc="AED6FB58" w:tentative="1">
      <w:start w:val="1"/>
      <w:numFmt w:val="lowerLetter"/>
      <w:lvlText w:val="%8."/>
      <w:lvlJc w:val="left"/>
      <w:pPr>
        <w:ind w:left="5400" w:hanging="360"/>
      </w:pPr>
    </w:lvl>
    <w:lvl w:ilvl="8" w:tplc="2946D33A" w:tentative="1">
      <w:start w:val="1"/>
      <w:numFmt w:val="lowerRoman"/>
      <w:lvlText w:val="%9."/>
      <w:lvlJc w:val="right"/>
      <w:pPr>
        <w:ind w:left="6120" w:hanging="180"/>
      </w:pPr>
    </w:lvl>
  </w:abstractNum>
  <w:num w:numId="1">
    <w:abstractNumId w:val="22"/>
  </w:num>
  <w:num w:numId="2">
    <w:abstractNumId w:val="26"/>
  </w:num>
  <w:num w:numId="3">
    <w:abstractNumId w:val="34"/>
  </w:num>
  <w:num w:numId="4">
    <w:abstractNumId w:val="32"/>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3"/>
  </w:num>
  <w:num w:numId="26">
    <w:abstractNumId w:val="31"/>
  </w:num>
  <w:num w:numId="27">
    <w:abstractNumId w:val="23"/>
  </w:num>
  <w:num w:numId="28">
    <w:abstractNumId w:val="27"/>
  </w:num>
  <w:num w:numId="29">
    <w:abstractNumId w:val="25"/>
  </w:num>
  <w:num w:numId="30">
    <w:abstractNumId w:val="28"/>
  </w:num>
  <w:num w:numId="31">
    <w:abstractNumId w:val="20"/>
  </w:num>
  <w:num w:numId="32">
    <w:abstractNumId w:val="29"/>
  </w:num>
  <w:num w:numId="33">
    <w:abstractNumId w:val="30"/>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09"/>
    <w:rsid w:val="00292EC2"/>
    <w:rsid w:val="002E7665"/>
    <w:rsid w:val="00402B5E"/>
    <w:rsid w:val="005E2B8F"/>
    <w:rsid w:val="00715B24"/>
    <w:rsid w:val="007819A7"/>
    <w:rsid w:val="007A5396"/>
    <w:rsid w:val="00833784"/>
    <w:rsid w:val="00883109"/>
    <w:rsid w:val="00C82527"/>
    <w:rsid w:val="00DD2A06"/>
    <w:rsid w:val="00EF4AC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07F82-1AE3-448D-980D-BB8AE7A3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64B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B05D-6C91-45A2-BDE1-126B7BC7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75</TotalTime>
  <Pages>17</Pages>
  <Words>5035</Words>
  <Characters>28705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Gorman, Dave</cp:lastModifiedBy>
  <cp:revision>21</cp:revision>
  <cp:lastPrinted>2017-10-30T16:42:00Z</cp:lastPrinted>
  <dcterms:created xsi:type="dcterms:W3CDTF">2017-10-30T08:09:00Z</dcterms:created>
  <dcterms:modified xsi:type="dcterms:W3CDTF">2017-11-03T13:26:00Z</dcterms:modified>
</cp:coreProperties>
</file>